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A6" w:rsidRDefault="00AE74F6" w:rsidP="00AE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RELATÓRIO </w:t>
      </w:r>
      <w:r w:rsidR="0095348D">
        <w:rPr>
          <w:b/>
          <w:sz w:val="28"/>
          <w:szCs w:val="28"/>
        </w:rPr>
        <w:t>RES</w:t>
      </w:r>
      <w:bookmarkStart w:id="0" w:name="_GoBack"/>
      <w:bookmarkEnd w:id="0"/>
      <w:r w:rsidR="0095348D">
        <w:rPr>
          <w:b/>
          <w:sz w:val="28"/>
          <w:szCs w:val="28"/>
        </w:rPr>
        <w:t xml:space="preserve">UMIDO </w:t>
      </w:r>
      <w:r>
        <w:rPr>
          <w:b/>
          <w:sz w:val="28"/>
          <w:szCs w:val="28"/>
        </w:rPr>
        <w:t>CAI 2013</w:t>
      </w:r>
    </w:p>
    <w:p w:rsidR="00AE74F6" w:rsidRDefault="00AE74F6" w:rsidP="00AE74F6">
      <w:pPr>
        <w:jc w:val="center"/>
      </w:pPr>
    </w:p>
    <w:p w:rsidR="00C50C9A" w:rsidRDefault="001F65A6">
      <w:r>
        <w:t xml:space="preserve"> </w:t>
      </w:r>
    </w:p>
    <w:p w:rsidR="00C50C9A" w:rsidRDefault="00C50C9A" w:rsidP="00C50C9A">
      <w:pPr>
        <w:pStyle w:val="PargrafodaLista"/>
        <w:numPr>
          <w:ilvl w:val="0"/>
          <w:numId w:val="1"/>
        </w:numPr>
        <w:ind w:left="0" w:firstLine="0"/>
        <w:jc w:val="both"/>
        <w:rPr>
          <w:b/>
          <w:color w:val="4F81BD" w:themeColor="accent1"/>
        </w:rPr>
      </w:pPr>
      <w:r w:rsidRPr="007C1D50">
        <w:rPr>
          <w:b/>
          <w:color w:val="4F81BD" w:themeColor="accent1"/>
        </w:rPr>
        <w:t>Intensificação e diversificação da mobilidade internacional de estudantes de graduação</w:t>
      </w:r>
      <w:r w:rsidR="007C6609">
        <w:rPr>
          <w:b/>
          <w:color w:val="4F81BD" w:themeColor="accent1"/>
        </w:rPr>
        <w:t xml:space="preserve"> (IDAS)</w:t>
      </w:r>
    </w:p>
    <w:p w:rsidR="007C6609" w:rsidRDefault="007C6609" w:rsidP="007C6609">
      <w:pPr>
        <w:jc w:val="both"/>
        <w:rPr>
          <w:b/>
          <w:color w:val="4F81BD" w:themeColor="accent1"/>
        </w:rPr>
      </w:pPr>
    </w:p>
    <w:p w:rsidR="00ED2E8A" w:rsidRDefault="00ED2E8A" w:rsidP="007C6609">
      <w:pPr>
        <w:jc w:val="both"/>
        <w:rPr>
          <w:b/>
          <w:color w:val="4F81BD" w:themeColor="accent1"/>
        </w:rPr>
      </w:pPr>
    </w:p>
    <w:p w:rsidR="007C6609" w:rsidRDefault="007C6609" w:rsidP="007C6609">
      <w:pPr>
        <w:jc w:val="both"/>
        <w:rPr>
          <w:b/>
          <w:color w:val="4F81BD" w:themeColor="accent1"/>
        </w:rPr>
      </w:pPr>
    </w:p>
    <w:p w:rsidR="007C6609" w:rsidRPr="007C6609" w:rsidRDefault="007C6609" w:rsidP="007C6609">
      <w:pPr>
        <w:jc w:val="both"/>
      </w:pPr>
      <w:r w:rsidRPr="007C6609">
        <w:t>a) Idas: Evolução da Mobilidade (2003-2013)</w:t>
      </w:r>
    </w:p>
    <w:p w:rsidR="00553849" w:rsidRDefault="00553849" w:rsidP="00C50C9A">
      <w:pPr>
        <w:pStyle w:val="PargrafodaLista"/>
        <w:ind w:left="0"/>
        <w:jc w:val="both"/>
        <w:rPr>
          <w:b/>
          <w:color w:val="4F81BD" w:themeColor="accent1"/>
        </w:rPr>
      </w:pPr>
    </w:p>
    <w:p w:rsidR="00553849" w:rsidRDefault="00553849" w:rsidP="00C50C9A">
      <w:pPr>
        <w:pStyle w:val="PargrafodaLista"/>
        <w:ind w:left="0"/>
        <w:jc w:val="both"/>
        <w:rPr>
          <w:b/>
          <w:color w:val="4F81BD" w:themeColor="accent1"/>
        </w:rPr>
      </w:pPr>
    </w:p>
    <w:p w:rsidR="00553849" w:rsidRPr="007C1D50" w:rsidRDefault="00553849" w:rsidP="00C50C9A">
      <w:pPr>
        <w:pStyle w:val="PargrafodaLista"/>
        <w:ind w:left="0"/>
        <w:jc w:val="both"/>
        <w:rPr>
          <w:b/>
          <w:color w:val="4F81BD" w:themeColor="accent1"/>
        </w:rPr>
      </w:pPr>
    </w:p>
    <w:p w:rsidR="00C50C9A" w:rsidRDefault="00ED2E8A" w:rsidP="00C50C9A">
      <w:r>
        <w:rPr>
          <w:noProof/>
          <w:lang w:eastAsia="pt-BR"/>
        </w:rPr>
        <w:drawing>
          <wp:inline distT="0" distB="0" distL="0" distR="0">
            <wp:extent cx="5715000" cy="6286500"/>
            <wp:effectExtent l="0" t="0" r="2540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2E8A" w:rsidRDefault="00ED2E8A" w:rsidP="00C50C9A"/>
    <w:p w:rsidR="00ED2E8A" w:rsidRDefault="00ED2E8A" w:rsidP="00C50C9A"/>
    <w:p w:rsidR="00ED2E8A" w:rsidRDefault="00ED2E8A" w:rsidP="00C50C9A">
      <w:r>
        <w:lastRenderedPageBreak/>
        <w:t>b) Idas 2013: Distribuição por país</w:t>
      </w:r>
    </w:p>
    <w:p w:rsidR="00ED2E8A" w:rsidRDefault="00ED2E8A" w:rsidP="00C50C9A"/>
    <w:p w:rsidR="00ED2E8A" w:rsidRDefault="00ED2E8A" w:rsidP="00C50C9A"/>
    <w:p w:rsidR="00ED2E8A" w:rsidRDefault="00ED2E8A" w:rsidP="00C50C9A"/>
    <w:p w:rsidR="00ED2E8A" w:rsidRDefault="00ED2E8A" w:rsidP="00C50C9A">
      <w:r>
        <w:rPr>
          <w:noProof/>
          <w:lang w:eastAsia="pt-BR"/>
        </w:rPr>
        <w:drawing>
          <wp:inline distT="0" distB="0" distL="0" distR="0">
            <wp:extent cx="5600700" cy="7747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2E8A" w:rsidRDefault="00ED2E8A" w:rsidP="00C50C9A"/>
    <w:p w:rsidR="00ED2E8A" w:rsidRDefault="00ED2E8A" w:rsidP="00C50C9A"/>
    <w:p w:rsidR="0030488A" w:rsidRDefault="0030488A">
      <w:r>
        <w:t>c) Idas 2013: Distribuiçã</w:t>
      </w:r>
      <w:r w:rsidR="00F9573B">
        <w:t>o por continente</w:t>
      </w:r>
    </w:p>
    <w:p w:rsidR="00F9573B" w:rsidRDefault="00F9573B"/>
    <w:p w:rsidR="00F9573B" w:rsidRDefault="00F9573B"/>
    <w:p w:rsidR="0030488A" w:rsidRDefault="0030488A"/>
    <w:p w:rsidR="0030488A" w:rsidRDefault="00F9573B">
      <w:r>
        <w:rPr>
          <w:noProof/>
          <w:lang w:eastAsia="pt-BR"/>
        </w:rPr>
        <w:drawing>
          <wp:inline distT="0" distB="0" distL="0" distR="0">
            <wp:extent cx="5600700" cy="7861300"/>
            <wp:effectExtent l="0" t="0" r="12700" b="127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488A" w:rsidRDefault="0030488A"/>
    <w:p w:rsidR="00F9573B" w:rsidRDefault="000364A9">
      <w:r>
        <w:t>d) Idas 2013: Distribuição por programa</w:t>
      </w:r>
    </w:p>
    <w:p w:rsidR="000364A9" w:rsidRDefault="000364A9"/>
    <w:p w:rsidR="000364A9" w:rsidRDefault="000364A9"/>
    <w:p w:rsidR="000364A9" w:rsidRDefault="000364A9"/>
    <w:p w:rsidR="000364A9" w:rsidRDefault="000364A9">
      <w:r>
        <w:rPr>
          <w:noProof/>
          <w:lang w:eastAsia="pt-BR"/>
        </w:rPr>
        <w:drawing>
          <wp:inline distT="0" distB="0" distL="0" distR="0">
            <wp:extent cx="5715000" cy="7696200"/>
            <wp:effectExtent l="0" t="0" r="25400" b="254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64A9" w:rsidRDefault="000364A9"/>
    <w:p w:rsidR="000364A9" w:rsidRDefault="000364A9"/>
    <w:p w:rsidR="000364A9" w:rsidRDefault="000C0D37">
      <w:r>
        <w:t>e) Idas 2013: Distribuição por curso</w:t>
      </w:r>
    </w:p>
    <w:p w:rsidR="000C0D37" w:rsidRDefault="000C0D37"/>
    <w:p w:rsidR="000C0D37" w:rsidRDefault="000C0D37"/>
    <w:p w:rsidR="000C0D37" w:rsidRDefault="000C0D37">
      <w:r>
        <w:rPr>
          <w:noProof/>
          <w:lang w:eastAsia="pt-BR"/>
        </w:rPr>
        <w:drawing>
          <wp:inline distT="0" distB="0" distL="0" distR="0">
            <wp:extent cx="5715000" cy="8039100"/>
            <wp:effectExtent l="0" t="0" r="25400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0D37" w:rsidRDefault="000C0D37"/>
    <w:p w:rsidR="000C0D37" w:rsidRDefault="00C7647B">
      <w:r>
        <w:t>f) Idas 2013: Distribuição por câmpus</w:t>
      </w:r>
    </w:p>
    <w:p w:rsidR="00C7647B" w:rsidRDefault="00C7647B"/>
    <w:p w:rsidR="00C7647B" w:rsidRDefault="00C7647B"/>
    <w:p w:rsidR="00C7647B" w:rsidRDefault="00C7647B"/>
    <w:p w:rsidR="00C7647B" w:rsidRDefault="00C7647B"/>
    <w:p w:rsidR="00C7647B" w:rsidRDefault="00C7647B">
      <w:r>
        <w:rPr>
          <w:noProof/>
          <w:lang w:eastAsia="pt-BR"/>
        </w:rPr>
        <w:drawing>
          <wp:inline distT="0" distB="0" distL="0" distR="0">
            <wp:extent cx="5486400" cy="7226300"/>
            <wp:effectExtent l="0" t="0" r="2540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47B" w:rsidRDefault="00C7647B"/>
    <w:p w:rsidR="00C7647B" w:rsidRDefault="00C7647B"/>
    <w:p w:rsidR="00C7647B" w:rsidRDefault="00C7647B"/>
    <w:p w:rsidR="00C7647B" w:rsidRDefault="00C7647B"/>
    <w:p w:rsidR="00A54393" w:rsidRDefault="00A54393">
      <w:r>
        <w:t>g) Idas 2013: Distribuição por universidade de destino  (só mencionadas as instituições que mais recebem):</w:t>
      </w:r>
    </w:p>
    <w:p w:rsidR="00A54393" w:rsidRDefault="00A54393"/>
    <w:p w:rsidR="00A54393" w:rsidRDefault="00A54393"/>
    <w:p w:rsidR="00A54393" w:rsidRDefault="00A54393"/>
    <w:p w:rsidR="00A54393" w:rsidRDefault="00A54393">
      <w:r>
        <w:rPr>
          <w:noProof/>
          <w:lang w:eastAsia="pt-BR"/>
        </w:rPr>
        <w:drawing>
          <wp:inline distT="0" distB="0" distL="0" distR="0">
            <wp:extent cx="5270500" cy="7886700"/>
            <wp:effectExtent l="0" t="0" r="12700" b="1270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631" w:rsidRDefault="00253631"/>
    <w:p w:rsidR="00253631" w:rsidRDefault="00253631">
      <w:r>
        <w:t>h) Relação das universidades de destino/número de estudantes recebidos</w:t>
      </w:r>
    </w:p>
    <w:p w:rsidR="007C039C" w:rsidRDefault="007C039C"/>
    <w:p w:rsidR="00253631" w:rsidRDefault="00253631"/>
    <w:tbl>
      <w:tblPr>
        <w:tblW w:w="7528" w:type="dxa"/>
        <w:tblInd w:w="93" w:type="dxa"/>
        <w:tblLayout w:type="fixed"/>
        <w:tblLook w:val="04A0"/>
      </w:tblPr>
      <w:tblGrid>
        <w:gridCol w:w="6961"/>
        <w:gridCol w:w="567"/>
      </w:tblGrid>
      <w:tr w:rsidR="00253631" w:rsidRPr="00F13872" w:rsidTr="005E2D7F">
        <w:trPr>
          <w:trHeight w:val="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Coimbra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Técnica de Lisboa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Instituto Politécnico de Bragança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da Beira Interior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State University of New York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Toronto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Katholische Universität Eichstätt-Ingolstadt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Morehead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Manitoba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 xml:space="preserve">Universidade Nacional de Córdoba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Kirkwood Community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Cornell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Florida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Arizona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York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Universitá per Estranieri di Perugia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Universitá Degli Studi di Firenze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Montana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Technische Universität München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Marshall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do Porto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Pisa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de Lleida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Newcastle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Newcastle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Hochschule Aalen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de Jaén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Brock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Alberta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6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Oniris- École Nationale Vétérinaire, Agroalimentaire et de L'Alimentation Nantes-Atlantique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Did Deutsch-Institut, Frankfurt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Griffith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de Caen Basse-Normandie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D’Avignon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Kingston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361CE7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</w:t>
            </w:r>
            <w:r w:rsidR="00253631" w:rsidRPr="00F13872">
              <w:rPr>
                <w:rFonts w:ascii="Times New Roman" w:eastAsia="Times New Roman" w:hAnsi="Times New Roman" w:cs="Times New Roman"/>
              </w:rPr>
              <w:t>nstitut de Français-Université D'Orleans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Católica de Murcia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Radboud University Nijmegin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Laurentian University of Sudbury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 xml:space="preserve">Universidad Nacional Del Litoral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Évora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Ulster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Alcalá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do Minho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de Valladolid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Portland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Universitá di Bologna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Nova de Lisboa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Dillard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St. John’s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Wisconsin – River Falls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Waterloo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Westfalische Wilhelms - Universität Münster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West Virginia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INSA Lion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Miguel Hernandez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Rovira I Virgili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Ottawa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Algoma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Adelaide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Aveiro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Saint Mary’s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Missouri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INSA Strasbourg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Rose-Hulman Institute of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AgroParis Tech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Montfort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Ruhr Universität Bochum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Guelph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Budapest University of Technology and Economics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Rhode Island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Loyola University Chicago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The University of Sydney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Temple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Fontbonne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The University of Arizona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Monash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Durham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Dundee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Bath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Algarve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Western Michigan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The University of Western Austrália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Valência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Regina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Vigo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 xml:space="preserve">Site de La Chantrerie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Católica do Porto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North Florida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Hochschule Fur Forstwirtschaft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Trinity Western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West England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Hochschule Offenburg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INSA Rennes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Santiago de Compostela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Catholic University of America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Missouri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Green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Thompson Rivers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Fontys University of Applied Sciences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Autónoma de Mad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Northern 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Media and Music of Inholland University of Applied Sciences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Charles-de-Gaule Lille3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Blaise Pascal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Toulouse 2, Le-Mirail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du Maine-Le Mans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Catholique de Lille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Du Quebec A Montreal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Católica de Ávila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State University of New York, Albany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Bordeaux Segalen-Bordeaux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de Alicante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Hofstra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State University of New York, Buffalo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State University of New York, Oswego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Alto Douro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Léon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Victor Segalen – Bordeaux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Vancouver Island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Montana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Université Catholique de L'Ouest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Universite de Reims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Augustana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Wyoming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Surrey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Missouri University of Science and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Applied Sciences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Oviedo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Windson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Tennessee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Granada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Instituto Politécnico de Milano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Universitá Degli Studi di Milano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Calgary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Edge Hill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Politécnica de Madrid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British Columbia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Cádiz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Sevilla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Ruprecht Karls Uniersität Heidelberg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Lisboa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Korea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Friedrich-Schiller Universität Jena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Roehampton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Nova Scotia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 xml:space="preserve">Royal Institute of Technology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Royal Melbourne In</w:t>
            </w:r>
            <w:r w:rsidR="007C039C" w:rsidRPr="00F13872">
              <w:rPr>
                <w:rFonts w:ascii="Times New Roman" w:eastAsia="Times New Roman" w:hAnsi="Times New Roman" w:cs="Times New Roman"/>
              </w:rPr>
              <w:t xml:space="preserve">stitute of Technology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Kent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Complutense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Kentucky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Lethbridge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Wisconsin – Madison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 xml:space="preserve">Universidad Nacional Del Nordeste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Nacional de Cuyo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 del Caribe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Wisconsin, Eau Claire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École Superieure D'Agriculture D'Angers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ISARA - Lyon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Hawkeye Community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Marburg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École D'Ingénieurs de Purpan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C039C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39C" w:rsidRPr="00F13872" w:rsidRDefault="007C039C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Institut Sup. D'Agriculture Et D'Agroalimentaire Rhône-Alpes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39C" w:rsidRPr="00F13872" w:rsidRDefault="007C039C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Macquarie University-Sidney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Goethe-Institut, Schwäbisch Hall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Otto-Von-Guerick-Universität Magdeburg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Wollongong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Polytech Orléans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Lawrence Technological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Athlone Institute of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National University of Ireland, Galway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College Cork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Columbia College, Columbia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Michigan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Michigan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Kansas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Arkansas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Illinois Institute of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College of New Jersey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Kettering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Bucknell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Nebraska at Kearney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Mercer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Queensland University of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Evansville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Cincinnati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Howard 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Concordia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Katholieke Universiteit Leuven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Vrije Universiteit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Swansea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Anglia Ruskin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East Anglia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Lincoln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Queen Mary-University of London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Goldsmiths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Portsmouth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Brunel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Queen's University of Belfast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Eastern of Finland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Cégep de Sherbrooke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Goldsmiths University of London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New York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Universidade de Murcia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Universitá Degli Studi di Padova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East Londo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Mississipi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Algonquin College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Birmingham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Glasgow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3631" w:rsidRPr="00F13872" w:rsidTr="005E2D7F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F138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University of North Carolina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1" w:rsidRPr="00F13872" w:rsidRDefault="00253631" w:rsidP="007C039C">
            <w:pPr>
              <w:rPr>
                <w:rFonts w:ascii="Times New Roman" w:eastAsia="Times New Roman" w:hAnsi="Times New Roman" w:cs="Times New Roman"/>
              </w:rPr>
            </w:pPr>
            <w:r w:rsidRPr="00F13872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53631" w:rsidRPr="005E2D7F" w:rsidRDefault="00253631" w:rsidP="007C039C">
      <w:pPr>
        <w:pStyle w:val="PargrafodaLista"/>
        <w:ind w:left="0"/>
        <w:rPr>
          <w:b/>
          <w:color w:val="4F81BD" w:themeColor="accent1"/>
        </w:rPr>
      </w:pPr>
    </w:p>
    <w:p w:rsidR="00253631" w:rsidRDefault="00253631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062689" w:rsidRDefault="00062689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361CE7" w:rsidRDefault="00361CE7" w:rsidP="007C039C">
      <w:pPr>
        <w:pStyle w:val="PargrafodaLista"/>
        <w:ind w:left="0"/>
        <w:rPr>
          <w:b/>
          <w:color w:val="4F81BD" w:themeColor="accent1"/>
        </w:rPr>
      </w:pPr>
    </w:p>
    <w:p w:rsidR="00105C81" w:rsidRDefault="00105C81" w:rsidP="00105C81">
      <w:pPr>
        <w:pStyle w:val="PargrafodaLista"/>
        <w:numPr>
          <w:ilvl w:val="0"/>
          <w:numId w:val="1"/>
        </w:numPr>
        <w:ind w:left="0" w:firstLine="0"/>
        <w:jc w:val="both"/>
        <w:rPr>
          <w:b/>
          <w:color w:val="4F81BD" w:themeColor="accent1"/>
        </w:rPr>
      </w:pPr>
      <w:r w:rsidRPr="007C1D50">
        <w:rPr>
          <w:b/>
          <w:color w:val="4F81BD" w:themeColor="accent1"/>
        </w:rPr>
        <w:t>Intensificação e diversificação da mobilidade internacional de estudantes de graduação</w:t>
      </w:r>
      <w:r>
        <w:rPr>
          <w:b/>
          <w:color w:val="4F81BD" w:themeColor="accent1"/>
        </w:rPr>
        <w:t xml:space="preserve"> (VINDAS)</w:t>
      </w:r>
    </w:p>
    <w:p w:rsidR="00105C81" w:rsidRDefault="00105C81" w:rsidP="00105C81">
      <w:pPr>
        <w:pStyle w:val="PargrafodaLista"/>
        <w:ind w:left="0"/>
        <w:jc w:val="both"/>
        <w:rPr>
          <w:b/>
          <w:color w:val="4F81BD" w:themeColor="accent1"/>
        </w:rPr>
      </w:pPr>
    </w:p>
    <w:p w:rsidR="00105C81" w:rsidRDefault="00105C81" w:rsidP="00105C81">
      <w:pPr>
        <w:jc w:val="both"/>
        <w:rPr>
          <w:b/>
          <w:color w:val="4F81BD" w:themeColor="accent1"/>
        </w:rPr>
      </w:pPr>
    </w:p>
    <w:p w:rsidR="001F65A6" w:rsidRDefault="00757162" w:rsidP="00631150">
      <w:pPr>
        <w:pStyle w:val="PargrafodaLista"/>
        <w:numPr>
          <w:ilvl w:val="0"/>
          <w:numId w:val="8"/>
        </w:numPr>
      </w:pPr>
      <w:r>
        <w:t>Vindas: Evolução da mobilidade (2003-2013)</w:t>
      </w:r>
    </w:p>
    <w:p w:rsidR="00631150" w:rsidRDefault="00631150" w:rsidP="00631150">
      <w:pPr>
        <w:pStyle w:val="PargrafodaLista"/>
      </w:pPr>
    </w:p>
    <w:p w:rsidR="00631150" w:rsidRDefault="00631150" w:rsidP="00631150">
      <w:pPr>
        <w:pStyle w:val="PargrafodaLista"/>
      </w:pPr>
    </w:p>
    <w:p w:rsidR="001F65A6" w:rsidRDefault="001F65A6"/>
    <w:p w:rsidR="00631150" w:rsidRDefault="00631150">
      <w:r>
        <w:rPr>
          <w:noProof/>
          <w:lang w:eastAsia="pt-BR"/>
        </w:rPr>
        <w:drawing>
          <wp:inline distT="0" distB="0" distL="0" distR="0">
            <wp:extent cx="5257800" cy="6845300"/>
            <wp:effectExtent l="0" t="0" r="25400" b="127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5A6" w:rsidRDefault="001F65A6"/>
    <w:p w:rsidR="0051407F" w:rsidRDefault="0051407F"/>
    <w:p w:rsidR="0051407F" w:rsidRDefault="0051407F"/>
    <w:p w:rsidR="00527FDA" w:rsidRDefault="00C50C9A">
      <w:r>
        <w:t>b</w:t>
      </w:r>
      <w:r w:rsidR="00527FDA">
        <w:t xml:space="preserve">) </w:t>
      </w:r>
      <w:r w:rsidR="00757162">
        <w:t>Vindas</w:t>
      </w:r>
      <w:r w:rsidR="009403BA">
        <w:t xml:space="preserve"> 2013</w:t>
      </w:r>
      <w:r w:rsidR="00757162">
        <w:t xml:space="preserve">: </w:t>
      </w:r>
      <w:r w:rsidR="00527FDA">
        <w:t>Distribuição por paí</w:t>
      </w:r>
      <w:r w:rsidR="00757162">
        <w:t>s</w:t>
      </w:r>
    </w:p>
    <w:p w:rsidR="00527FDA" w:rsidRDefault="00527FDA"/>
    <w:p w:rsidR="00527FDA" w:rsidRDefault="00527FDA"/>
    <w:p w:rsidR="00527FDA" w:rsidRDefault="00527FDA"/>
    <w:p w:rsidR="00527FDA" w:rsidRDefault="00527FDA"/>
    <w:p w:rsidR="00757162" w:rsidRDefault="00527FDA">
      <w:r>
        <w:rPr>
          <w:noProof/>
          <w:lang w:eastAsia="pt-BR"/>
        </w:rPr>
        <w:drawing>
          <wp:inline distT="0" distB="0" distL="0" distR="0">
            <wp:extent cx="5829300" cy="77978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53D7" w:rsidRDefault="00AB53D7">
      <w:r>
        <w:t>c) Vindas 2013 : Distribuição por continentes</w:t>
      </w:r>
    </w:p>
    <w:p w:rsidR="00AB53D7" w:rsidRDefault="00AB53D7"/>
    <w:p w:rsidR="00AB53D7" w:rsidRDefault="00AB53D7"/>
    <w:p w:rsidR="00AB53D7" w:rsidRDefault="00AB53D7"/>
    <w:p w:rsidR="00AB53D7" w:rsidRDefault="00AB53D7"/>
    <w:p w:rsidR="00AB53D7" w:rsidRDefault="00AB53D7">
      <w:r>
        <w:rPr>
          <w:noProof/>
          <w:lang w:eastAsia="pt-BR"/>
        </w:rPr>
        <w:drawing>
          <wp:inline distT="0" distB="0" distL="0" distR="0">
            <wp:extent cx="5257800" cy="7340600"/>
            <wp:effectExtent l="0" t="0" r="2540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7162" w:rsidRDefault="00757162"/>
    <w:p w:rsidR="00AB53D7" w:rsidRDefault="00AB53D7"/>
    <w:p w:rsidR="00AB53D7" w:rsidRDefault="00AB53D7"/>
    <w:p w:rsidR="00757162" w:rsidRDefault="00AB53D7">
      <w:r>
        <w:t>d</w:t>
      </w:r>
      <w:r w:rsidR="00757162">
        <w:t>) Vindas</w:t>
      </w:r>
      <w:r w:rsidR="009403BA">
        <w:t xml:space="preserve"> 2013</w:t>
      </w:r>
      <w:r w:rsidR="00757162">
        <w:t>: Distribuição por programas</w:t>
      </w:r>
    </w:p>
    <w:p w:rsidR="00757162" w:rsidRDefault="00757162"/>
    <w:p w:rsidR="00757162" w:rsidRDefault="00757162"/>
    <w:p w:rsidR="00992261" w:rsidRDefault="00992261"/>
    <w:p w:rsidR="00AB53D7" w:rsidRDefault="00AB53D7"/>
    <w:p w:rsidR="00992261" w:rsidRDefault="00992261"/>
    <w:p w:rsidR="00992261" w:rsidRDefault="00A228C7">
      <w:r>
        <w:rPr>
          <w:noProof/>
          <w:lang w:eastAsia="pt-BR"/>
        </w:rPr>
        <w:drawing>
          <wp:inline distT="0" distB="0" distL="0" distR="0">
            <wp:extent cx="5270500" cy="6934200"/>
            <wp:effectExtent l="0" t="0" r="1270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53D7" w:rsidRDefault="00AB53D7"/>
    <w:p w:rsidR="00AB53D7" w:rsidRDefault="00AB53D7"/>
    <w:p w:rsidR="00AB53D7" w:rsidRDefault="00AB53D7"/>
    <w:p w:rsidR="00AB53D7" w:rsidRDefault="00AB53D7"/>
    <w:p w:rsidR="00992261" w:rsidRDefault="00FB1105">
      <w:r>
        <w:t>e</w:t>
      </w:r>
      <w:r w:rsidR="00992261">
        <w:t>) Vindas</w:t>
      </w:r>
      <w:r w:rsidR="009403BA">
        <w:t xml:space="preserve"> 2013</w:t>
      </w:r>
      <w:r w:rsidR="00992261">
        <w:t xml:space="preserve">: </w:t>
      </w:r>
      <w:r w:rsidR="00B37F2D">
        <w:t>Distribuição por curso</w:t>
      </w:r>
    </w:p>
    <w:p w:rsidR="00B37F2D" w:rsidRDefault="00B37F2D"/>
    <w:p w:rsidR="00B37F2D" w:rsidRDefault="00B37F2D"/>
    <w:p w:rsidR="00B37F2D" w:rsidRDefault="00B37F2D"/>
    <w:p w:rsidR="00B37F2D" w:rsidRDefault="00B37F2D"/>
    <w:p w:rsidR="00B37F2D" w:rsidRDefault="00B37F2D">
      <w:r>
        <w:rPr>
          <w:noProof/>
          <w:lang w:eastAsia="pt-BR"/>
        </w:rPr>
        <w:drawing>
          <wp:inline distT="0" distB="0" distL="0" distR="0">
            <wp:extent cx="5715000" cy="76835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1105" w:rsidRDefault="00FB1105"/>
    <w:p w:rsidR="00311C0A" w:rsidRDefault="00311C0A">
      <w:r>
        <w:t>f) Vindas 2013: Distribuição por câmpus</w:t>
      </w:r>
    </w:p>
    <w:p w:rsidR="00311C0A" w:rsidRDefault="00311C0A"/>
    <w:p w:rsidR="00311C0A" w:rsidRDefault="00311C0A"/>
    <w:p w:rsidR="00311C0A" w:rsidRDefault="00311C0A"/>
    <w:p w:rsidR="00311C0A" w:rsidRDefault="00311C0A"/>
    <w:p w:rsidR="00311C0A" w:rsidRDefault="00311C0A">
      <w:r>
        <w:rPr>
          <w:noProof/>
          <w:lang w:eastAsia="pt-BR"/>
        </w:rPr>
        <w:drawing>
          <wp:inline distT="0" distB="0" distL="0" distR="0">
            <wp:extent cx="5143500" cy="6997700"/>
            <wp:effectExtent l="0" t="0" r="1270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1C0A" w:rsidRDefault="00311C0A"/>
    <w:p w:rsidR="00311C0A" w:rsidRDefault="00311C0A"/>
    <w:p w:rsidR="00311C0A" w:rsidRDefault="00311C0A"/>
    <w:p w:rsidR="00311C0A" w:rsidRDefault="00311C0A"/>
    <w:p w:rsidR="00554834" w:rsidRDefault="00311C0A">
      <w:r>
        <w:t>g)</w:t>
      </w:r>
      <w:r w:rsidR="00554834">
        <w:t xml:space="preserve"> Vindas</w:t>
      </w:r>
      <w:r w:rsidR="009403BA">
        <w:t xml:space="preserve"> 2013</w:t>
      </w:r>
      <w:r w:rsidR="00554834">
        <w:t>: Distribuição por universidade de origem</w:t>
      </w:r>
      <w:r w:rsidR="00FB1105">
        <w:t xml:space="preserve"> (somente universidades que mais enviam estão mencionadas)</w:t>
      </w:r>
    </w:p>
    <w:p w:rsidR="00554834" w:rsidRDefault="00554834"/>
    <w:p w:rsidR="00554834" w:rsidRDefault="00554834"/>
    <w:p w:rsidR="00554834" w:rsidRDefault="00554834">
      <w:r>
        <w:rPr>
          <w:noProof/>
          <w:lang w:eastAsia="pt-BR"/>
        </w:rPr>
        <w:drawing>
          <wp:inline distT="0" distB="0" distL="0" distR="0">
            <wp:extent cx="5600700" cy="8089900"/>
            <wp:effectExtent l="0" t="0" r="1270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0C9A" w:rsidRDefault="002548B1">
      <w:r>
        <w:t>h) Relação das universidades de origem/número de estudantes enviados:</w:t>
      </w:r>
    </w:p>
    <w:p w:rsidR="002548B1" w:rsidRDefault="002548B1"/>
    <w:tbl>
      <w:tblPr>
        <w:tblW w:w="8379" w:type="dxa"/>
        <w:tblInd w:w="93" w:type="dxa"/>
        <w:tblLayout w:type="fixed"/>
        <w:tblLook w:val="04A0"/>
      </w:tblPr>
      <w:tblGrid>
        <w:gridCol w:w="7812"/>
        <w:gridCol w:w="567"/>
      </w:tblGrid>
      <w:tr w:rsidR="00F13872" w:rsidRPr="002548B1" w:rsidTr="00F13872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 xml:space="preserve">Universidade de Cabo Verde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Inst</w:t>
            </w:r>
            <w:r>
              <w:rPr>
                <w:rFonts w:ascii="Times New Roman" w:eastAsia="Times New Roman" w:hAnsi="Times New Roman" w:cs="Times New Roman"/>
              </w:rPr>
              <w:t xml:space="preserve">ituto Politécnico de Bragança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Marshall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University of Northern Iowa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48B1">
              <w:rPr>
                <w:rFonts w:ascii="Times New Roman" w:eastAsia="Times New Roman" w:hAnsi="Times New Roman" w:cs="Times New Roman"/>
                <w:sz w:val="22"/>
                <w:szCs w:val="22"/>
              </w:rPr>
              <w:t>Universidad de Córdoba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Instituto S</w:t>
            </w:r>
            <w:r>
              <w:rPr>
                <w:rFonts w:ascii="Times New Roman" w:eastAsia="Times New Roman" w:hAnsi="Times New Roman" w:cs="Times New Roman"/>
              </w:rPr>
              <w:t xml:space="preserve">uperior Politécnico de Maricá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Uni</w:t>
            </w:r>
            <w:r>
              <w:rPr>
                <w:rFonts w:ascii="Times New Roman" w:eastAsia="Times New Roman" w:hAnsi="Times New Roman" w:cs="Times New Roman"/>
              </w:rPr>
              <w:t>versidad Nacional del Litoral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University of Massachusetts Amherst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iversidad Nacional de Córdoba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California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Morehead State University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Katholische U</w:t>
            </w:r>
            <w:r>
              <w:rPr>
                <w:rFonts w:ascii="Times New Roman" w:eastAsia="Times New Roman" w:hAnsi="Times New Roman" w:cs="Times New Roman"/>
              </w:rPr>
              <w:t>niversität Eichstatt-Ingolstadt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stituto Politécnico Nacional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Universidade de Coimbra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Hawkeye Community College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Univ</w:t>
            </w:r>
            <w:r>
              <w:rPr>
                <w:rFonts w:ascii="Times New Roman" w:eastAsia="Times New Roman" w:hAnsi="Times New Roman" w:cs="Times New Roman"/>
              </w:rPr>
              <w:t>ersidad Nacional del Nordeste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 de Caldas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 xml:space="preserve">Universidade </w:t>
            </w:r>
            <w:r>
              <w:rPr>
                <w:rFonts w:ascii="Times New Roman" w:eastAsia="Times New Roman" w:hAnsi="Times New Roman" w:cs="Times New Roman"/>
              </w:rPr>
              <w:t xml:space="preserve">de Malmö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Uni</w:t>
            </w:r>
            <w:r>
              <w:rPr>
                <w:rFonts w:ascii="Times New Roman" w:eastAsia="Times New Roman" w:hAnsi="Times New Roman" w:cs="Times New Roman"/>
              </w:rPr>
              <w:t>versidad Nacional de San Luis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 Nacional de Cuyo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Unive</w:t>
            </w:r>
            <w:r>
              <w:rPr>
                <w:rFonts w:ascii="Times New Roman" w:eastAsia="Times New Roman" w:hAnsi="Times New Roman" w:cs="Times New Roman"/>
              </w:rPr>
              <w:t>rsidade José Eduardo dos Santos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Faculdade de Medicina de Malanje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Instituto Sup</w:t>
            </w:r>
            <w:r>
              <w:rPr>
                <w:rFonts w:ascii="Times New Roman" w:eastAsia="Times New Roman" w:hAnsi="Times New Roman" w:cs="Times New Roman"/>
              </w:rPr>
              <w:t>erior de Ciências da Educação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Faculdade de Ciências Agrárias do Huambo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Universidade Oscar Ribas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Insituto Poli</w:t>
            </w:r>
            <w:r>
              <w:rPr>
                <w:rFonts w:ascii="Times New Roman" w:eastAsia="Times New Roman" w:hAnsi="Times New Roman" w:cs="Times New Roman"/>
              </w:rPr>
              <w:t>técnico Superior-Apolitécnica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F13872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 Nacional de Tucumán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 xml:space="preserve">Universidad Nacional de Rosario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 xml:space="preserve">Universidad Autónoma Gabriel René Moreno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F13872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Universidad de Concepción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Corporación Univers</w:t>
            </w:r>
            <w:r w:rsidR="00F13872">
              <w:rPr>
                <w:rFonts w:ascii="Times New Roman" w:eastAsia="Times New Roman" w:hAnsi="Times New Roman" w:cs="Times New Roman"/>
              </w:rPr>
              <w:t>itaria de Santa Rosa de Cabal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 xml:space="preserve">Universitat Autònoma de Barcelona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F13872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Universidad del Caribe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B1" w:rsidRPr="002548B1" w:rsidRDefault="00F13872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University of Montevallo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13872" w:rsidRPr="002548B1" w:rsidTr="00F13872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F13872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Universität Passau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8B1" w:rsidRPr="002548B1" w:rsidRDefault="002548B1" w:rsidP="002548B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548B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548B1" w:rsidRDefault="002548B1"/>
    <w:p w:rsidR="00C50C9A" w:rsidRDefault="00C50C9A"/>
    <w:p w:rsidR="00D44558" w:rsidRPr="00D44558" w:rsidRDefault="00D44558" w:rsidP="00D44558">
      <w:pPr>
        <w:pStyle w:val="PargrafodaLista"/>
        <w:numPr>
          <w:ilvl w:val="0"/>
          <w:numId w:val="1"/>
        </w:numPr>
        <w:jc w:val="both"/>
        <w:rPr>
          <w:b/>
          <w:color w:val="4F81BD" w:themeColor="accent1"/>
        </w:rPr>
      </w:pPr>
      <w:r w:rsidRPr="00D44558">
        <w:rPr>
          <w:b/>
          <w:color w:val="4F81BD" w:themeColor="accent1"/>
        </w:rPr>
        <w:t>Participação em programas e projetos internacionais</w:t>
      </w:r>
    </w:p>
    <w:p w:rsidR="00D44558" w:rsidRDefault="00D44558" w:rsidP="00D44558">
      <w:pPr>
        <w:jc w:val="both"/>
      </w:pPr>
    </w:p>
    <w:p w:rsidR="00D44558" w:rsidRDefault="00D44558" w:rsidP="00D44558">
      <w:pPr>
        <w:pStyle w:val="PargrafodaLista"/>
        <w:numPr>
          <w:ilvl w:val="0"/>
          <w:numId w:val="3"/>
        </w:numPr>
        <w:jc w:val="both"/>
      </w:pPr>
      <w:r w:rsidRPr="005A74DD">
        <w:rPr>
          <w:b/>
        </w:rPr>
        <w:t>AUGM (Associação de Universidades do Grupo Montevidéu):</w:t>
      </w:r>
      <w:r>
        <w:t xml:space="preserve"> participação nos diferentes programas da AUGM: mobilidade docente, mobilidade de pós-graduação, mobilidade estudantil (graduação) etc. Destaca-se a participação de estudantes da UFG nas XXI Jornadas de Jovens Pesquisadores da AUGM, com apresentação de trabalho.</w:t>
      </w:r>
    </w:p>
    <w:p w:rsidR="00D44558" w:rsidRDefault="00D44558" w:rsidP="00D44558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862282" cy="1036320"/>
            <wp:effectExtent l="0" t="0" r="1905" b="5080"/>
            <wp:docPr id="12" name="Picture 8" descr="LOGOMARCA GRUPO MONTIVIDE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ARCA GRUPO MONTIVIDEO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82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58" w:rsidRPr="005A74DD" w:rsidRDefault="00D44558" w:rsidP="00D44558">
      <w:pPr>
        <w:pStyle w:val="PargrafodaLista"/>
      </w:pPr>
    </w:p>
    <w:p w:rsidR="00D44558" w:rsidRDefault="00D44558" w:rsidP="00D44558">
      <w:pPr>
        <w:pStyle w:val="PargrafodaLista"/>
        <w:numPr>
          <w:ilvl w:val="0"/>
          <w:numId w:val="3"/>
        </w:numPr>
        <w:jc w:val="both"/>
      </w:pPr>
      <w:r w:rsidRPr="00666256">
        <w:rPr>
          <w:b/>
        </w:rPr>
        <w:t>Alfa Trall (Transatlantic Lifelong Learning: Rebalancing Relations):</w:t>
      </w:r>
      <w:r>
        <w:t xml:space="preserve"> projeto no âmbito do Programa Alfa III da Comissão Europeia, com a participação de 15 instituições da América Latina e 5 da Europa. Foi ofertado, pela UFG, o </w:t>
      </w:r>
      <w:r w:rsidR="004941DB">
        <w:t xml:space="preserve">segundo </w:t>
      </w:r>
      <w:r>
        <w:t>Curso de Extensão “</w:t>
      </w:r>
      <w:r w:rsidR="004941DB">
        <w:t>Desenvolvimento de Produto: A confecção de vestimenta pela ótica do ensino por competências”</w:t>
      </w:r>
      <w:r>
        <w:t>, numa parceria com o Senai-GO que, entre outras formas de apoio, garantiu a metodologia do ensino por competências adotado no curso. O curso foi destinado</w:t>
      </w:r>
      <w:r w:rsidR="004941DB">
        <w:t>, entre outros participantes,</w:t>
      </w:r>
      <w:r>
        <w:t xml:space="preserve"> às integrantes da Comunidade de Bordadeiras Bordana, que adquiriram habilidades de bordado manual por meio de processos de aprendizagem não formal e que pretendem, agora, produzir vestimenta com design, qualidade de confecção e produtividade, para que seja competitiva no mercado nacional.</w:t>
      </w:r>
    </w:p>
    <w:p w:rsidR="00D44558" w:rsidRDefault="00D44558" w:rsidP="00D44558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909320" cy="909320"/>
            <wp:effectExtent l="0" t="0" r="5080" b="508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58" w:rsidRDefault="00D44558" w:rsidP="00D44558">
      <w:pPr>
        <w:pStyle w:val="western"/>
        <w:spacing w:after="0"/>
      </w:pPr>
    </w:p>
    <w:p w:rsidR="00D44558" w:rsidRDefault="00D44558" w:rsidP="00D44558">
      <w:pPr>
        <w:pStyle w:val="PargrafodaLista"/>
        <w:numPr>
          <w:ilvl w:val="0"/>
          <w:numId w:val="3"/>
        </w:numPr>
        <w:jc w:val="both"/>
      </w:pPr>
      <w:r w:rsidRPr="005A77CC">
        <w:rPr>
          <w:b/>
        </w:rPr>
        <w:t>IBE (Instituto de Estudos Brasil Europa):</w:t>
      </w:r>
      <w:r>
        <w:t xml:space="preserve"> continuidade nas atividades do IBE, com a atuação da UFG no Plano de Comunicações do IBE, sob a responsabilidade do Prof. Anselmo Pessoa Neto, Pró-Reitor de Extensão e Cultura.</w:t>
      </w:r>
    </w:p>
    <w:p w:rsidR="00D44558" w:rsidRDefault="00D44558" w:rsidP="00D44558">
      <w:pPr>
        <w:jc w:val="both"/>
      </w:pPr>
      <w:r>
        <w:t xml:space="preserve">              </w:t>
      </w:r>
      <w:r>
        <w:rPr>
          <w:rFonts w:ascii="Helvetica" w:hAnsi="Helvetica" w:cs="Helvetica"/>
          <w:noProof/>
          <w:lang w:eastAsia="pt-BR"/>
        </w:rPr>
        <w:drawing>
          <wp:inline distT="0" distB="0" distL="0" distR="0">
            <wp:extent cx="1190993" cy="89916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59" cy="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58" w:rsidRDefault="00D44558" w:rsidP="00D44558"/>
    <w:p w:rsidR="00D44558" w:rsidRDefault="00D44558" w:rsidP="00D44558"/>
    <w:p w:rsidR="00D44558" w:rsidRDefault="00D44558" w:rsidP="00D44558"/>
    <w:p w:rsidR="00C50C9A" w:rsidRDefault="00C50C9A"/>
    <w:p w:rsidR="004275C3" w:rsidRDefault="004275C3" w:rsidP="004275C3">
      <w:pPr>
        <w:pStyle w:val="PargrafodaLista"/>
        <w:numPr>
          <w:ilvl w:val="0"/>
          <w:numId w:val="3"/>
        </w:numPr>
      </w:pPr>
      <w:r>
        <w:rPr>
          <w:b/>
        </w:rPr>
        <w:t>NEC (</w:t>
      </w:r>
      <w:r w:rsidRPr="004275C3">
        <w:rPr>
          <w:b/>
        </w:rPr>
        <w:t>Núcleo de Estudos Canadenses</w:t>
      </w:r>
      <w:r>
        <w:rPr>
          <w:b/>
        </w:rPr>
        <w:t>)</w:t>
      </w:r>
      <w:r>
        <w:t xml:space="preserve">: resultado de convênio assinado entre a UFG e a Embaixada do Canadá, ligado à Associação Brasileira de Estudos Canadenses (ABECAN). </w:t>
      </w:r>
    </w:p>
    <w:p w:rsidR="004275C3" w:rsidRDefault="004275C3" w:rsidP="004275C3">
      <w:pPr>
        <w:pStyle w:val="PargrafodaLista"/>
      </w:pPr>
    </w:p>
    <w:p w:rsidR="004275C3" w:rsidRDefault="007A003F" w:rsidP="004275C3">
      <w:pPr>
        <w:pStyle w:val="PargrafodaLista"/>
      </w:pP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 w:rsidR="004275C3">
        <w:t xml:space="preserve">Foi organizado o Seminário “Diversidade Cultural no Canadá: Desafios e Enfrentamentos”, com a participação do Prof. Jorge Virchez, da Laurentian University, nos dias 13 e 14 de novembro de 2013. </w:t>
      </w:r>
    </w:p>
    <w:p w:rsidR="004275C3" w:rsidRDefault="004275C3" w:rsidP="004275C3">
      <w:pPr>
        <w:pStyle w:val="PargrafodaLista"/>
      </w:pPr>
    </w:p>
    <w:p w:rsidR="00AA0F97" w:rsidRDefault="007A003F" w:rsidP="004275C3">
      <w:pPr>
        <w:pStyle w:val="PargrafodaLista"/>
      </w:pP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 w:rsidR="004275C3">
        <w:t>Foi realizada a 6</w:t>
      </w:r>
      <w:r w:rsidR="004275C3" w:rsidRPr="004275C3">
        <w:rPr>
          <w:vertAlign w:val="superscript"/>
        </w:rPr>
        <w:t>a</w:t>
      </w:r>
      <w:r w:rsidR="004275C3">
        <w:t xml:space="preserve"> edição do Ciclo de Palestras “Canadá em Pauta” </w:t>
      </w:r>
      <w:r w:rsidR="00DA3657">
        <w:t>:</w:t>
      </w:r>
    </w:p>
    <w:p w:rsidR="00DA3657" w:rsidRDefault="00DA3657" w:rsidP="004275C3">
      <w:pPr>
        <w:pStyle w:val="PargrafodaLista"/>
      </w:pPr>
    </w:p>
    <w:tbl>
      <w:tblPr>
        <w:tblStyle w:val="Tabelacomgrade"/>
        <w:tblW w:w="0" w:type="auto"/>
        <w:tblInd w:w="720" w:type="dxa"/>
        <w:tblLook w:val="04A0"/>
      </w:tblPr>
      <w:tblGrid>
        <w:gridCol w:w="1515"/>
        <w:gridCol w:w="6281"/>
      </w:tblGrid>
      <w:tr w:rsidR="00DA3657" w:rsidRPr="00D87E81" w:rsidTr="00DA3657">
        <w:tc>
          <w:tcPr>
            <w:tcW w:w="1515" w:type="dxa"/>
          </w:tcPr>
          <w:p w:rsidR="00DA3657" w:rsidRPr="00D87E81" w:rsidRDefault="00DA3657" w:rsidP="004275C3">
            <w:pPr>
              <w:pStyle w:val="PargrafodaLista"/>
              <w:ind w:left="0"/>
              <w:rPr>
                <w:b/>
              </w:rPr>
            </w:pPr>
            <w:r w:rsidRPr="00D87E81">
              <w:rPr>
                <w:b/>
              </w:rPr>
              <w:t>Data</w:t>
            </w:r>
          </w:p>
        </w:tc>
        <w:tc>
          <w:tcPr>
            <w:tcW w:w="6281" w:type="dxa"/>
          </w:tcPr>
          <w:p w:rsidR="00DA3657" w:rsidRPr="00D87E81" w:rsidRDefault="00D87E81" w:rsidP="004275C3">
            <w:pPr>
              <w:pStyle w:val="PargrafodaLista"/>
              <w:ind w:left="0"/>
              <w:rPr>
                <w:rFonts w:cs="Times New Roman"/>
                <w:b/>
                <w:iCs/>
                <w:color w:val="1A1A1A"/>
                <w:lang w:val="en-US"/>
              </w:rPr>
            </w:pPr>
            <w:r>
              <w:rPr>
                <w:rFonts w:cs="Times New Roman"/>
                <w:b/>
                <w:iCs/>
                <w:color w:val="1A1A1A"/>
                <w:lang w:val="en-US"/>
              </w:rPr>
              <w:t>T</w:t>
            </w:r>
            <w:r w:rsidR="00DA3657" w:rsidRPr="00D87E81">
              <w:rPr>
                <w:rFonts w:cs="Times New Roman"/>
                <w:b/>
                <w:iCs/>
                <w:color w:val="1A1A1A"/>
                <w:lang w:val="en-US"/>
              </w:rPr>
              <w:t>ítulo da palestra</w:t>
            </w:r>
            <w:r>
              <w:rPr>
                <w:rFonts w:cs="Times New Roman"/>
                <w:b/>
                <w:iCs/>
                <w:color w:val="1A1A1A"/>
                <w:lang w:val="en-US"/>
              </w:rPr>
              <w:t xml:space="preserve"> / palestrante</w:t>
            </w:r>
          </w:p>
          <w:p w:rsidR="00D87E81" w:rsidRPr="00D87E81" w:rsidRDefault="00D87E81" w:rsidP="004275C3">
            <w:pPr>
              <w:pStyle w:val="PargrafodaLista"/>
              <w:ind w:left="0"/>
              <w:rPr>
                <w:rFonts w:cs="Times New Roman"/>
                <w:b/>
                <w:iCs/>
                <w:color w:val="1A1A1A"/>
                <w:lang w:val="en-US"/>
              </w:rPr>
            </w:pPr>
          </w:p>
        </w:tc>
      </w:tr>
      <w:tr w:rsidR="00DA3657" w:rsidRPr="00D87E81" w:rsidTr="00DA3657">
        <w:tc>
          <w:tcPr>
            <w:tcW w:w="1515" w:type="dxa"/>
          </w:tcPr>
          <w:p w:rsidR="00DA3657" w:rsidRPr="00D87E81" w:rsidRDefault="00DA3657" w:rsidP="004275C3">
            <w:pPr>
              <w:pStyle w:val="PargrafodaLista"/>
              <w:ind w:left="0"/>
            </w:pPr>
            <w:r w:rsidRPr="00D87E81">
              <w:t>09/04/2013</w:t>
            </w:r>
          </w:p>
        </w:tc>
        <w:tc>
          <w:tcPr>
            <w:tcW w:w="6281" w:type="dxa"/>
          </w:tcPr>
          <w:p w:rsidR="00DA3657" w:rsidRDefault="00DA3657" w:rsidP="004275C3">
            <w:pPr>
              <w:pStyle w:val="PargrafodaLista"/>
              <w:ind w:left="0"/>
              <w:rPr>
                <w:rFonts w:cs="Times New Roman"/>
                <w:color w:val="1A1A1A"/>
                <w:lang w:val="en-US"/>
              </w:rPr>
            </w:pPr>
            <w:r w:rsidRPr="00D87E81">
              <w:rPr>
                <w:rFonts w:cs="Times New Roman"/>
                <w:iCs/>
                <w:color w:val="1A1A1A"/>
                <w:lang w:val="en-US"/>
              </w:rPr>
              <w:t>Hélène Dorion: um olhar sobre a poesia quequebense traduzida para o português.</w:t>
            </w:r>
            <w:r w:rsidR="00D87E81">
              <w:rPr>
                <w:rFonts w:cs="Times New Roman"/>
                <w:color w:val="1A1A1A"/>
                <w:lang w:val="en-US"/>
              </w:rPr>
              <w:t> </w:t>
            </w:r>
            <w:r w:rsidRPr="00D87E81">
              <w:rPr>
                <w:rFonts w:cs="Times New Roman"/>
                <w:color w:val="1A1A1A"/>
                <w:lang w:val="en-US"/>
              </w:rPr>
              <w:t>Giovana Bleyer Ferreira dos Santos (UFSC)</w:t>
            </w:r>
          </w:p>
          <w:p w:rsidR="007A003F" w:rsidRPr="00D87E81" w:rsidRDefault="007A003F" w:rsidP="004275C3">
            <w:pPr>
              <w:pStyle w:val="PargrafodaLista"/>
              <w:ind w:left="0"/>
            </w:pPr>
          </w:p>
        </w:tc>
      </w:tr>
      <w:tr w:rsidR="00DA3657" w:rsidRPr="00D87E81" w:rsidTr="00DA3657">
        <w:tc>
          <w:tcPr>
            <w:tcW w:w="1515" w:type="dxa"/>
          </w:tcPr>
          <w:p w:rsidR="00DA3657" w:rsidRPr="00D87E81" w:rsidRDefault="00DA3657" w:rsidP="004275C3">
            <w:pPr>
              <w:pStyle w:val="PargrafodaLista"/>
              <w:ind w:left="0"/>
            </w:pPr>
            <w:r w:rsidRPr="00D87E81">
              <w:t>08/05/2013</w:t>
            </w:r>
          </w:p>
        </w:tc>
        <w:tc>
          <w:tcPr>
            <w:tcW w:w="6281" w:type="dxa"/>
          </w:tcPr>
          <w:p w:rsidR="00DA3657" w:rsidRPr="00D87E81" w:rsidRDefault="00DA3657" w:rsidP="00D87E81">
            <w:pPr>
              <w:widowControl w:val="0"/>
              <w:autoSpaceDE w:val="0"/>
              <w:autoSpaceDN w:val="0"/>
              <w:adjustRightInd w:val="0"/>
              <w:spacing w:after="180"/>
              <w:jc w:val="both"/>
              <w:rPr>
                <w:rFonts w:cs="Arial"/>
                <w:color w:val="1A1A1A"/>
                <w:lang w:val="en-US"/>
              </w:rPr>
            </w:pPr>
            <w:r w:rsidRPr="00D87E81">
              <w:rPr>
                <w:rFonts w:cs="Times New Roman"/>
                <w:iCs/>
                <w:color w:val="1A1A1A"/>
                <w:lang w:val="en-US"/>
              </w:rPr>
              <w:t>Surdos do Brasil e do Canadá: diferentes línguas, um só povo</w:t>
            </w:r>
            <w:r w:rsidRPr="00D87E81">
              <w:rPr>
                <w:rFonts w:cs="Times New Roman"/>
                <w:color w:val="1A1A1A"/>
                <w:lang w:val="en-US"/>
              </w:rPr>
              <w:t>. Profa. Dra. Mariângela Estelita Barros (FL-UFG)</w:t>
            </w:r>
          </w:p>
        </w:tc>
      </w:tr>
      <w:tr w:rsidR="00DA3657" w:rsidRPr="00D87E81" w:rsidTr="00DA3657">
        <w:tc>
          <w:tcPr>
            <w:tcW w:w="1515" w:type="dxa"/>
          </w:tcPr>
          <w:p w:rsidR="00DA3657" w:rsidRPr="00D87E81" w:rsidRDefault="00DA3657" w:rsidP="004275C3">
            <w:pPr>
              <w:pStyle w:val="PargrafodaLista"/>
              <w:ind w:left="0"/>
            </w:pPr>
            <w:r w:rsidRPr="00D87E81">
              <w:t>26/06/2013</w:t>
            </w:r>
          </w:p>
        </w:tc>
        <w:tc>
          <w:tcPr>
            <w:tcW w:w="6281" w:type="dxa"/>
          </w:tcPr>
          <w:p w:rsidR="00DA3657" w:rsidRPr="00D87E81" w:rsidRDefault="00DA3657" w:rsidP="00D87E81">
            <w:pPr>
              <w:widowControl w:val="0"/>
              <w:autoSpaceDE w:val="0"/>
              <w:autoSpaceDN w:val="0"/>
              <w:adjustRightInd w:val="0"/>
              <w:spacing w:after="180"/>
              <w:jc w:val="both"/>
              <w:rPr>
                <w:rFonts w:cs="Arial"/>
                <w:color w:val="1A1A1A"/>
                <w:lang w:val="en-US"/>
              </w:rPr>
            </w:pPr>
            <w:r w:rsidRPr="00D87E81">
              <w:rPr>
                <w:rFonts w:cs="Times New Roman"/>
                <w:iCs/>
                <w:color w:val="1A1A1A"/>
                <w:lang w:val="en-US"/>
              </w:rPr>
              <w:t>O som como elemento de identidade cultural no cinema de minorias indígenas canadenses</w:t>
            </w:r>
            <w:r w:rsidR="00D87E81">
              <w:rPr>
                <w:rFonts w:cs="Times New Roman"/>
                <w:color w:val="1A1A1A"/>
                <w:lang w:val="en-US"/>
              </w:rPr>
              <w:t>.</w:t>
            </w:r>
            <w:r w:rsidRPr="00D87E81">
              <w:rPr>
                <w:rFonts w:cs="Times New Roman"/>
                <w:color w:val="1A1A1A"/>
                <w:lang w:val="en-US"/>
              </w:rPr>
              <w:t xml:space="preserve"> Thaís Oliveira e Profa. Dra. Rosa Berardo (FAV-UFG)</w:t>
            </w:r>
          </w:p>
        </w:tc>
      </w:tr>
      <w:tr w:rsidR="00DA3657" w:rsidRPr="00D87E81" w:rsidTr="00DA3657">
        <w:tc>
          <w:tcPr>
            <w:tcW w:w="1515" w:type="dxa"/>
          </w:tcPr>
          <w:p w:rsidR="00DA3657" w:rsidRPr="00D87E81" w:rsidRDefault="00DA3657" w:rsidP="004275C3">
            <w:pPr>
              <w:pStyle w:val="PargrafodaLista"/>
              <w:ind w:left="0"/>
            </w:pPr>
            <w:r w:rsidRPr="00D87E81">
              <w:t>19/09/2013</w:t>
            </w:r>
          </w:p>
        </w:tc>
        <w:tc>
          <w:tcPr>
            <w:tcW w:w="6281" w:type="dxa"/>
          </w:tcPr>
          <w:p w:rsidR="00DA3657" w:rsidRPr="00D87E81" w:rsidRDefault="00E7354B" w:rsidP="00D87E81">
            <w:pPr>
              <w:widowControl w:val="0"/>
              <w:autoSpaceDE w:val="0"/>
              <w:autoSpaceDN w:val="0"/>
              <w:adjustRightInd w:val="0"/>
              <w:spacing w:after="180"/>
              <w:jc w:val="both"/>
              <w:rPr>
                <w:rFonts w:cs="Arial"/>
                <w:color w:val="1A1A1A"/>
                <w:lang w:val="en-US"/>
              </w:rPr>
            </w:pPr>
            <w:hyperlink r:id="rId22" w:history="1">
              <w:r w:rsidR="00DA3657" w:rsidRPr="00D87E81">
                <w:rPr>
                  <w:rFonts w:cs="Times New Roman"/>
                  <w:iCs/>
                  <w:lang w:val="en-US"/>
                </w:rPr>
                <w:t>Rudy Wiebe: Autor do Oeste do Canadá</w:t>
              </w:r>
            </w:hyperlink>
            <w:r w:rsidR="00DA3657" w:rsidRPr="00D87E81">
              <w:rPr>
                <w:rFonts w:cs="Times New Roman"/>
                <w:iCs/>
                <w:color w:val="1A1A1A"/>
                <w:lang w:val="en-US"/>
              </w:rPr>
              <w:t>.</w:t>
            </w:r>
            <w:r w:rsidR="00D87E81">
              <w:rPr>
                <w:rFonts w:cs="Times New Roman"/>
                <w:color w:val="1A1A1A"/>
                <w:lang w:val="en-US"/>
              </w:rPr>
              <w:t> </w:t>
            </w:r>
            <w:r w:rsidR="00DA3657" w:rsidRPr="00D87E81">
              <w:rPr>
                <w:rFonts w:cs="Times New Roman"/>
                <w:color w:val="1A1A1A"/>
                <w:lang w:val="en-US"/>
              </w:rPr>
              <w:t>Profa. Dra. Dilys Karen Rees (FL/UFG).</w:t>
            </w:r>
          </w:p>
        </w:tc>
      </w:tr>
      <w:tr w:rsidR="00DA3657" w:rsidRPr="00D87E81" w:rsidTr="00DA3657">
        <w:tc>
          <w:tcPr>
            <w:tcW w:w="1515" w:type="dxa"/>
          </w:tcPr>
          <w:p w:rsidR="00DA3657" w:rsidRPr="00D87E81" w:rsidRDefault="00DA3657" w:rsidP="004275C3">
            <w:pPr>
              <w:pStyle w:val="PargrafodaLista"/>
              <w:ind w:left="0"/>
            </w:pPr>
            <w:r w:rsidRPr="00D87E81">
              <w:t>23/10/2013</w:t>
            </w:r>
          </w:p>
        </w:tc>
        <w:tc>
          <w:tcPr>
            <w:tcW w:w="6281" w:type="dxa"/>
          </w:tcPr>
          <w:p w:rsidR="00DA3657" w:rsidRPr="00D87E81" w:rsidRDefault="00DA3657" w:rsidP="00DA36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1A1A1A"/>
                <w:lang w:val="en-US"/>
              </w:rPr>
            </w:pPr>
            <w:r w:rsidRPr="00D87E81">
              <w:rPr>
                <w:rFonts w:cs="Times New Roman"/>
                <w:color w:val="383838"/>
                <w:lang w:val="en-US"/>
              </w:rPr>
              <w:t>O ensino de música em uma escola primária canadense - da proposta curricular à aplicação prática.</w:t>
            </w:r>
            <w:r w:rsidRPr="00D87E81">
              <w:rPr>
                <w:rFonts w:cs="Times New Roman"/>
                <w:color w:val="1A1A1A"/>
                <w:lang w:val="en-US"/>
              </w:rPr>
              <w:t xml:space="preserve"> Profa. </w:t>
            </w:r>
            <w:r w:rsidRPr="00D87E81">
              <w:rPr>
                <w:rFonts w:cs="Times New Roman"/>
                <w:color w:val="383838"/>
                <w:lang w:val="en-US"/>
              </w:rPr>
              <w:t>Telma de Oliveira Ferreira</w:t>
            </w:r>
            <w:r w:rsidRPr="00D87E81">
              <w:rPr>
                <w:rFonts w:cs="Times New Roman"/>
                <w:color w:val="1A1A1A"/>
                <w:lang w:val="en-US"/>
              </w:rPr>
              <w:t xml:space="preserve"> (Cepae /UFG)</w:t>
            </w:r>
          </w:p>
          <w:p w:rsidR="00DA3657" w:rsidRPr="00D87E81" w:rsidRDefault="00DA3657" w:rsidP="004275C3">
            <w:pPr>
              <w:pStyle w:val="PargrafodaLista"/>
              <w:ind w:left="0"/>
            </w:pPr>
          </w:p>
        </w:tc>
      </w:tr>
    </w:tbl>
    <w:p w:rsidR="00DA3657" w:rsidRPr="00D87E81" w:rsidRDefault="00DA3657" w:rsidP="004275C3">
      <w:pPr>
        <w:pStyle w:val="PargrafodaLista"/>
      </w:pPr>
    </w:p>
    <w:p w:rsidR="004275C3" w:rsidRPr="004275C3" w:rsidRDefault="004275C3" w:rsidP="004275C3">
      <w:pPr>
        <w:pStyle w:val="PargrafodaLista"/>
        <w:rPr>
          <w:b/>
        </w:rPr>
      </w:pPr>
      <w:r w:rsidRPr="00750C71">
        <w:object w:dxaOrig="3712" w:dyaOrig="1831">
          <v:shape id="_x0000_i1025" type="#_x0000_t75" style="width:135pt;height:66pt" o:ole="" fillcolor="window">
            <v:imagedata r:id="rId23" o:title=""/>
          </v:shape>
          <o:OLEObject Type="Embed" ProgID="CorelDRAW.Graphic.11" ShapeID="_x0000_i1025" DrawAspect="Content" ObjectID="_1448102573" r:id="rId24"/>
        </w:object>
      </w:r>
    </w:p>
    <w:p w:rsidR="00AA0F97" w:rsidRDefault="00AA0F97"/>
    <w:p w:rsidR="008958ED" w:rsidRDefault="008958ED"/>
    <w:p w:rsidR="004353F0" w:rsidRDefault="004353F0"/>
    <w:p w:rsidR="008958ED" w:rsidRDefault="008958ED" w:rsidP="008958ED">
      <w:pPr>
        <w:pStyle w:val="PargrafodaLista"/>
        <w:numPr>
          <w:ilvl w:val="0"/>
          <w:numId w:val="3"/>
        </w:numPr>
      </w:pPr>
      <w:r w:rsidRPr="008958ED">
        <w:rPr>
          <w:b/>
        </w:rPr>
        <w:t>Leitorado de Espanhol</w:t>
      </w:r>
      <w:r>
        <w:t>: resultado de convênio assinado entre a UFG e a Embaixada da Espanha.</w:t>
      </w:r>
    </w:p>
    <w:p w:rsidR="008958ED" w:rsidRDefault="008958ED" w:rsidP="008958ED">
      <w:pPr>
        <w:pStyle w:val="PargrafodaLista"/>
        <w:rPr>
          <w:b/>
        </w:rPr>
      </w:pPr>
    </w:p>
    <w:p w:rsidR="008958ED" w:rsidRDefault="007A003F" w:rsidP="008958ED">
      <w:pPr>
        <w:pStyle w:val="PargrafodaLista"/>
      </w:pP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 w:rsidR="008958ED">
        <w:t>Oferecimento de Cursos de Extensão de Espanhol Preparatório para Intercâmbio</w:t>
      </w:r>
    </w:p>
    <w:p w:rsidR="007A003F" w:rsidRDefault="007A003F" w:rsidP="008958ED">
      <w:pPr>
        <w:pStyle w:val="PargrafodaLista"/>
      </w:pPr>
    </w:p>
    <w:p w:rsidR="007A003F" w:rsidRDefault="007A003F" w:rsidP="007A003F">
      <w:pPr>
        <w:widowControl w:val="0"/>
        <w:autoSpaceDE w:val="0"/>
        <w:autoSpaceDN w:val="0"/>
        <w:adjustRightInd w:val="0"/>
        <w:ind w:left="709"/>
        <w:rPr>
          <w:rFonts w:cs="Times New Roman"/>
          <w:lang w:val="en-US"/>
        </w:rPr>
      </w:pP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 w:rsidRPr="007A003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Realização da palestra: </w:t>
      </w:r>
      <w:r w:rsidRPr="007A003F">
        <w:rPr>
          <w:rFonts w:cs="Times New Roman"/>
          <w:lang w:val="en-US"/>
        </w:rPr>
        <w:t>O sistema universitário espanhol no</w:t>
      </w:r>
      <w:r>
        <w:rPr>
          <w:rFonts w:cs="Times New Roman"/>
          <w:lang w:val="en-US"/>
        </w:rPr>
        <w:t xml:space="preserve"> </w:t>
      </w:r>
      <w:r w:rsidRPr="007A003F">
        <w:rPr>
          <w:rFonts w:cs="Times New Roman"/>
          <w:lang w:val="en-US"/>
        </w:rPr>
        <w:t>contexto universitário europeu</w:t>
      </w:r>
      <w:r>
        <w:rPr>
          <w:rFonts w:cs="Times New Roman"/>
          <w:lang w:val="en-US"/>
        </w:rPr>
        <w:t xml:space="preserve"> (06.08.2013)</w:t>
      </w:r>
      <w:r w:rsidR="004353F0">
        <w:rPr>
          <w:rFonts w:cs="Times New Roman"/>
          <w:lang w:val="en-US"/>
        </w:rPr>
        <w:t>.</w:t>
      </w:r>
    </w:p>
    <w:p w:rsidR="004353F0" w:rsidRDefault="004353F0" w:rsidP="007A003F">
      <w:pPr>
        <w:widowControl w:val="0"/>
        <w:autoSpaceDE w:val="0"/>
        <w:autoSpaceDN w:val="0"/>
        <w:adjustRightInd w:val="0"/>
        <w:ind w:left="709"/>
        <w:rPr>
          <w:rFonts w:cs="Times New Roman"/>
          <w:lang w:val="en-US"/>
        </w:rPr>
      </w:pPr>
    </w:p>
    <w:p w:rsidR="004353F0" w:rsidRPr="007A003F" w:rsidRDefault="004353F0" w:rsidP="007A003F">
      <w:pPr>
        <w:widowControl w:val="0"/>
        <w:autoSpaceDE w:val="0"/>
        <w:autoSpaceDN w:val="0"/>
        <w:adjustRightInd w:val="0"/>
        <w:ind w:left="709"/>
        <w:rPr>
          <w:rFonts w:cs="Times New Roman"/>
          <w:lang w:val="en-US"/>
        </w:rPr>
      </w:pPr>
    </w:p>
    <w:p w:rsidR="007A003F" w:rsidRPr="007A003F" w:rsidRDefault="007A003F" w:rsidP="008958ED">
      <w:pPr>
        <w:pStyle w:val="PargrafodaLista"/>
      </w:pPr>
    </w:p>
    <w:p w:rsidR="008958ED" w:rsidRDefault="004353F0" w:rsidP="004353F0">
      <w:pPr>
        <w:pStyle w:val="PargrafodaLista"/>
        <w:numPr>
          <w:ilvl w:val="0"/>
          <w:numId w:val="3"/>
        </w:numPr>
      </w:pPr>
      <w:r w:rsidRPr="006F7A4B">
        <w:rPr>
          <w:b/>
        </w:rPr>
        <w:t>Programa Ciência sem Fronteiras</w:t>
      </w:r>
      <w:r>
        <w:t>: abertura de edital, avaliação de candidaturas, homologação das inscrições, divulgação</w:t>
      </w:r>
      <w:r w:rsidR="00652AA1">
        <w:t>, abertura de processo, acompanhamento etc</w:t>
      </w:r>
      <w:r>
        <w:t xml:space="preserve">. </w:t>
      </w:r>
    </w:p>
    <w:p w:rsidR="004353F0" w:rsidRDefault="004353F0" w:rsidP="004353F0">
      <w:pPr>
        <w:pStyle w:val="PargrafodaLista"/>
        <w:rPr>
          <w:b/>
        </w:rPr>
      </w:pPr>
    </w:p>
    <w:p w:rsidR="004353F0" w:rsidRDefault="004353F0" w:rsidP="004353F0">
      <w:pPr>
        <w:pStyle w:val="PargrafodaLista"/>
      </w:pPr>
      <w:r w:rsidRPr="004353F0">
        <w:t>Eventos realizados</w:t>
      </w:r>
      <w:r>
        <w:t>:</w:t>
      </w:r>
    </w:p>
    <w:p w:rsidR="006F7A4B" w:rsidRDefault="006F7A4B" w:rsidP="004353F0">
      <w:pPr>
        <w:pStyle w:val="PargrafodaLista"/>
      </w:pPr>
    </w:p>
    <w:p w:rsidR="006F7A4B" w:rsidRDefault="006F7A4B" w:rsidP="004353F0">
      <w:pPr>
        <w:pStyle w:val="PargrafodaLista"/>
      </w:pPr>
      <w:r>
        <w:rPr>
          <w:rFonts w:ascii="Wingdings" w:hAnsi="Wingdings"/>
        </w:rPr>
        <w:t></w:t>
      </w:r>
      <w:r w:rsidRPr="006F7A4B">
        <w:t xml:space="preserve"> </w:t>
      </w:r>
      <w:r>
        <w:t>Apresentação da École Nationale Supérieure des Mines de Saint-Etienne, França (18/04/2013), em parceria com a École des Mines</w:t>
      </w:r>
    </w:p>
    <w:p w:rsidR="006F7A4B" w:rsidRDefault="006F7A4B" w:rsidP="004353F0">
      <w:pPr>
        <w:pStyle w:val="PargrafodaLista"/>
      </w:pPr>
    </w:p>
    <w:p w:rsidR="006F7A4B" w:rsidRDefault="006F7A4B" w:rsidP="004353F0">
      <w:pPr>
        <w:pStyle w:val="PargrafodaLista"/>
      </w:pPr>
      <w:r>
        <w:rPr>
          <w:rFonts w:ascii="Wingdings" w:hAnsi="Wingdings"/>
        </w:rPr>
        <w:t></w:t>
      </w:r>
      <w:r w:rsidRPr="006F7A4B">
        <w:t xml:space="preserve"> </w:t>
      </w:r>
      <w:r>
        <w:t xml:space="preserve">Palestra: Intercâmbio nos Estados Unidos (25 e 26/06/2013), em parceria com a Education USA/CCBEU/GO </w:t>
      </w:r>
    </w:p>
    <w:p w:rsidR="006F7A4B" w:rsidRDefault="006F7A4B" w:rsidP="004353F0">
      <w:pPr>
        <w:pStyle w:val="PargrafodaLista"/>
      </w:pPr>
    </w:p>
    <w:p w:rsidR="006F7A4B" w:rsidRDefault="006F7A4B" w:rsidP="004353F0">
      <w:pPr>
        <w:pStyle w:val="PargrafodaLista"/>
      </w:pPr>
      <w:r>
        <w:rPr>
          <w:rFonts w:ascii="Wingdings" w:hAnsi="Wingdings"/>
        </w:rPr>
        <w:t></w:t>
      </w:r>
      <w:r w:rsidRPr="006F7A4B">
        <w:t xml:space="preserve"> </w:t>
      </w:r>
      <w:r>
        <w:t>Palestra: O sistema educacional na República da China – Taiwan (13/08/2013), em parceria com o serviço consular de Taiwan</w:t>
      </w:r>
    </w:p>
    <w:p w:rsidR="006F7A4B" w:rsidRDefault="006F7A4B" w:rsidP="004353F0">
      <w:pPr>
        <w:pStyle w:val="PargrafodaLista"/>
      </w:pPr>
    </w:p>
    <w:p w:rsidR="006F7A4B" w:rsidRDefault="006F7A4B" w:rsidP="006F7A4B">
      <w:pPr>
        <w:pStyle w:val="PargrafodaLista"/>
      </w:pPr>
      <w:r>
        <w:rPr>
          <w:rFonts w:ascii="Wingdings" w:hAnsi="Wingdings"/>
        </w:rPr>
        <w:t></w:t>
      </w:r>
      <w:r>
        <w:t xml:space="preserve"> Visita da Delegação de Representantes de Universidades Historicamente Negras dos EUA (27/08/2013), em parceria com a Embaixada dos EUA</w:t>
      </w:r>
    </w:p>
    <w:p w:rsidR="006F7A4B" w:rsidRDefault="006F7A4B" w:rsidP="006F7A4B">
      <w:pPr>
        <w:pStyle w:val="PargrafodaLista"/>
      </w:pPr>
    </w:p>
    <w:p w:rsidR="006F7A4B" w:rsidRDefault="006F7A4B" w:rsidP="006F7A4B">
      <w:pPr>
        <w:pStyle w:val="PargrafodaLista"/>
      </w:pPr>
      <w:r>
        <w:rPr>
          <w:rFonts w:ascii="Wingdings" w:hAnsi="Wingdings"/>
        </w:rPr>
        <w:t></w:t>
      </w:r>
      <w:r>
        <w:t xml:space="preserve"> Palestra: Ciência sem Fronteiras na Alemanha (10/0</w:t>
      </w:r>
      <w:r w:rsidR="00B21D8C">
        <w:t>9/2013), em parceria com o DAAD</w:t>
      </w:r>
    </w:p>
    <w:p w:rsidR="006F7A4B" w:rsidRDefault="006F7A4B" w:rsidP="006F7A4B">
      <w:pPr>
        <w:pStyle w:val="PargrafodaLista"/>
      </w:pPr>
    </w:p>
    <w:p w:rsidR="006F7A4B" w:rsidRDefault="006F7A4B" w:rsidP="006F7A4B">
      <w:pPr>
        <w:pStyle w:val="PargrafodaLista"/>
      </w:pPr>
      <w:r>
        <w:rPr>
          <w:rFonts w:ascii="Wingdings" w:hAnsi="Wingdings"/>
        </w:rPr>
        <w:t></w:t>
      </w:r>
      <w:r>
        <w:t xml:space="preserve"> Palestra: Oportunidades de intercâmbio na Holanda (18/09/</w:t>
      </w:r>
      <w:r w:rsidR="00B21D8C">
        <w:t>2013), em parceria com o NUFFIC</w:t>
      </w:r>
    </w:p>
    <w:p w:rsidR="00B21D8C" w:rsidRDefault="00B21D8C" w:rsidP="006F7A4B">
      <w:pPr>
        <w:pStyle w:val="PargrafodaLista"/>
      </w:pPr>
    </w:p>
    <w:p w:rsidR="00B21D8C" w:rsidRPr="006F7A4B" w:rsidRDefault="00B21D8C" w:rsidP="006F7A4B">
      <w:pPr>
        <w:pStyle w:val="PargrafodaLista"/>
      </w:pP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>
        <w:t xml:space="preserve">Palestra: Os estudos universitários na França (21/11/2013), em parceria com a Aliança Francesa </w:t>
      </w:r>
    </w:p>
    <w:p w:rsidR="008958ED" w:rsidRPr="009333D1" w:rsidRDefault="008958ED" w:rsidP="008958ED">
      <w:pPr>
        <w:rPr>
          <w:rFonts w:ascii="Times New Roman" w:hAnsi="Times New Roman" w:cs="Times New Roman"/>
          <w:b/>
          <w:bCs/>
          <w:color w:val="383838"/>
          <w:lang w:val="en-US"/>
        </w:rPr>
      </w:pPr>
    </w:p>
    <w:p w:rsidR="008958ED" w:rsidRPr="009333D1" w:rsidRDefault="008958ED" w:rsidP="008958ED">
      <w:pPr>
        <w:rPr>
          <w:rFonts w:ascii="Times New Roman" w:hAnsi="Times New Roman" w:cs="Times New Roman"/>
          <w:b/>
          <w:bCs/>
          <w:color w:val="383838"/>
          <w:lang w:val="en-US"/>
        </w:rPr>
      </w:pPr>
    </w:p>
    <w:p w:rsidR="008958ED" w:rsidRPr="009333D1" w:rsidRDefault="008958ED" w:rsidP="008958ED">
      <w:pPr>
        <w:rPr>
          <w:rFonts w:ascii="Times New Roman" w:hAnsi="Times New Roman" w:cs="Times New Roman"/>
          <w:lang w:val="en-US"/>
        </w:rPr>
      </w:pPr>
    </w:p>
    <w:p w:rsidR="008958ED" w:rsidRDefault="006F7A4B" w:rsidP="008958E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383838"/>
          <w:lang w:val="en-US"/>
        </w:rPr>
      </w:pPr>
      <w:r w:rsidRPr="006F7A4B">
        <w:rPr>
          <w:rFonts w:ascii="Times New Roman" w:hAnsi="Times New Roman" w:cs="Times New Roman"/>
          <w:noProof/>
          <w:color w:val="383838"/>
          <w:lang w:eastAsia="pt-BR"/>
        </w:rPr>
        <w:drawing>
          <wp:inline distT="0" distB="0" distL="0" distR="0">
            <wp:extent cx="2736850" cy="1254125"/>
            <wp:effectExtent l="0" t="0" r="6350" b="0"/>
            <wp:docPr id="256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2541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0B4" w:rsidRDefault="00E450B4" w:rsidP="008958E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383838"/>
          <w:lang w:val="en-US"/>
        </w:rPr>
      </w:pPr>
    </w:p>
    <w:p w:rsidR="00E450B4" w:rsidRDefault="00E450B4" w:rsidP="008958E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383838"/>
          <w:lang w:val="en-US"/>
        </w:rPr>
      </w:pPr>
    </w:p>
    <w:p w:rsidR="00E450B4" w:rsidRDefault="00E450B4" w:rsidP="008958E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383838"/>
          <w:lang w:val="en-US"/>
        </w:rPr>
      </w:pPr>
    </w:p>
    <w:p w:rsidR="00E450B4" w:rsidRDefault="00E450B4" w:rsidP="008958E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383838"/>
          <w:lang w:val="en-US"/>
        </w:rPr>
      </w:pPr>
    </w:p>
    <w:p w:rsidR="00E450B4" w:rsidRPr="009333D1" w:rsidRDefault="00E450B4" w:rsidP="008958E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383838"/>
          <w:lang w:val="en-US"/>
        </w:rPr>
      </w:pPr>
    </w:p>
    <w:p w:rsidR="008958ED" w:rsidRPr="009333D1" w:rsidRDefault="008958ED" w:rsidP="008958ED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383838"/>
          <w:lang w:val="en-US"/>
        </w:rPr>
      </w:pPr>
      <w:r w:rsidRPr="009333D1">
        <w:rPr>
          <w:rFonts w:ascii="Times New Roman" w:hAnsi="Times New Roman" w:cs="Times New Roman"/>
          <w:lang w:val="en-US"/>
        </w:rPr>
        <w:t> </w:t>
      </w:r>
    </w:p>
    <w:p w:rsidR="004353F0" w:rsidRDefault="004353F0" w:rsidP="008958ED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b/>
          <w:bCs/>
          <w:color w:val="E12727"/>
          <w:lang w:val="en-US"/>
        </w:rPr>
      </w:pPr>
    </w:p>
    <w:p w:rsidR="00E450B4" w:rsidRPr="00E450B4" w:rsidRDefault="00E450B4" w:rsidP="00E450B4">
      <w:pPr>
        <w:pStyle w:val="PargrafodaLista"/>
        <w:numPr>
          <w:ilvl w:val="0"/>
          <w:numId w:val="1"/>
        </w:numPr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Convênios assinados em 2013</w:t>
      </w:r>
    </w:p>
    <w:p w:rsidR="006F2F15" w:rsidRPr="00A25197" w:rsidRDefault="006F2F15" w:rsidP="00E450B4">
      <w:pPr>
        <w:rPr>
          <w:rFonts w:ascii="Garamond" w:hAnsi="Garamond"/>
          <w:b/>
          <w:sz w:val="32"/>
          <w:szCs w:val="32"/>
        </w:rPr>
      </w:pPr>
    </w:p>
    <w:p w:rsidR="006F2F15" w:rsidRPr="0087600D" w:rsidRDefault="00E450B4" w:rsidP="006F2F1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a) Relação dos convênios por país/vigência:</w:t>
      </w:r>
    </w:p>
    <w:p w:rsidR="006F2F15" w:rsidRPr="0087600D" w:rsidRDefault="006F2F15" w:rsidP="006F2F15">
      <w:pPr>
        <w:rPr>
          <w:rFonts w:ascii="Garamond" w:hAnsi="Garamond"/>
          <w:sz w:val="28"/>
          <w:szCs w:val="28"/>
        </w:rPr>
      </w:pPr>
    </w:p>
    <w:p w:rsidR="006F2F15" w:rsidRPr="0087600D" w:rsidRDefault="006F2F15" w:rsidP="006F2F15">
      <w:pPr>
        <w:rPr>
          <w:rFonts w:ascii="Garamond" w:hAnsi="Garamond"/>
          <w:b/>
          <w:sz w:val="28"/>
          <w:szCs w:val="28"/>
        </w:rPr>
      </w:pPr>
      <w:r w:rsidRPr="0087600D">
        <w:rPr>
          <w:rFonts w:ascii="Garamond" w:hAnsi="Garamond"/>
          <w:b/>
          <w:sz w:val="28"/>
          <w:szCs w:val="28"/>
        </w:rPr>
        <w:t>Alemanha</w:t>
      </w:r>
    </w:p>
    <w:p w:rsidR="006F2F15" w:rsidRPr="0087600D" w:rsidRDefault="006F2F15" w:rsidP="006F2F15">
      <w:pPr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numPr>
          <w:ilvl w:val="0"/>
          <w:numId w:val="6"/>
        </w:numPr>
        <w:rPr>
          <w:rFonts w:ascii="Garamond" w:hAnsi="Garamond"/>
          <w:color w:val="0000FF"/>
          <w:sz w:val="28"/>
          <w:szCs w:val="28"/>
          <w:lang w:val="fr-FR"/>
        </w:rPr>
      </w:pPr>
      <w:r w:rsidRPr="00023056">
        <w:rPr>
          <w:rFonts w:ascii="Garamond" w:hAnsi="Garamond"/>
          <w:color w:val="0000FF"/>
          <w:sz w:val="28"/>
          <w:szCs w:val="28"/>
          <w:lang w:val="fr-FR"/>
        </w:rPr>
        <w:t>Katholischen Universität Eichstätt Ingolstadt (KUEI)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18/11/2013 a 17/11/2018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  <w:lang w:val="fr-FR"/>
        </w:rPr>
      </w:pPr>
      <w:r w:rsidRPr="00023056">
        <w:rPr>
          <w:rFonts w:ascii="Garamond" w:hAnsi="Garamond"/>
          <w:color w:val="0000FF"/>
          <w:sz w:val="28"/>
          <w:szCs w:val="28"/>
          <w:lang w:val="fr-FR"/>
        </w:rPr>
        <w:t>Agrar- und Umweltwissenschaftliche Fakultät - Universität Rostock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Fonts w:ascii="Garamond" w:hAnsi="Garamond"/>
          <w:sz w:val="28"/>
          <w:szCs w:val="28"/>
        </w:rPr>
        <w:br/>
        <w:t>16/01/2013 a 15/01/2018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sz w:val="28"/>
          <w:szCs w:val="28"/>
        </w:rPr>
      </w:pPr>
      <w:r w:rsidRPr="0087600D">
        <w:rPr>
          <w:rFonts w:ascii="Garamond" w:hAnsi="Garamond"/>
          <w:b/>
          <w:sz w:val="28"/>
          <w:szCs w:val="28"/>
        </w:rPr>
        <w:t>Bélgica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  <w:lang w:val="fr-FR"/>
        </w:rPr>
      </w:pPr>
      <w:r w:rsidRPr="00023056">
        <w:rPr>
          <w:rFonts w:ascii="Garamond" w:hAnsi="Garamond"/>
          <w:color w:val="0000FF"/>
          <w:sz w:val="28"/>
          <w:szCs w:val="28"/>
          <w:lang w:val="fr-FR"/>
        </w:rPr>
        <w:t>Katholieke Universiteit Leuven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i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 Validade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sz w:val="28"/>
          <w:szCs w:val="28"/>
        </w:rPr>
        <w:t> </w:t>
      </w:r>
      <w:r w:rsidRPr="0087600D">
        <w:rPr>
          <w:rFonts w:ascii="Garamond" w:hAnsi="Garamond"/>
          <w:sz w:val="28"/>
          <w:szCs w:val="28"/>
        </w:rPr>
        <w:t>21/10/13 a 20/10/15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</w:p>
    <w:p w:rsidR="006F2F15" w:rsidRPr="00D51E19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sz w:val="28"/>
          <w:szCs w:val="28"/>
        </w:rPr>
      </w:pPr>
      <w:r w:rsidRPr="00D51E19">
        <w:rPr>
          <w:rFonts w:ascii="Garamond" w:hAnsi="Garamond"/>
          <w:b/>
          <w:sz w:val="28"/>
          <w:szCs w:val="28"/>
        </w:rPr>
        <w:t>Brasil</w:t>
      </w: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Fórmula Santander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Style w:val="Forte"/>
          <w:rFonts w:ascii="Garamond" w:hAnsi="Garamond"/>
          <w:b w:val="0"/>
          <w:i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</w:p>
    <w:p w:rsidR="006F2F15" w:rsidRPr="001864EA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sz w:val="28"/>
          <w:szCs w:val="28"/>
        </w:rPr>
      </w:pPr>
      <w:r w:rsidRPr="001864EA">
        <w:rPr>
          <w:rFonts w:ascii="Garamond" w:hAnsi="Garamond"/>
          <w:color w:val="000000"/>
          <w:sz w:val="28"/>
          <w:szCs w:val="28"/>
        </w:rPr>
        <w:t>25/04/2013 a 30/06/2014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Bolsas Santander Ibero-Americanas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Style w:val="Forte"/>
          <w:rFonts w:ascii="Garamond" w:hAnsi="Garamond"/>
          <w:b w:val="0"/>
          <w:i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>
        <w:rPr>
          <w:rStyle w:val="Forte"/>
          <w:rFonts w:ascii="Garamond" w:hAnsi="Garamond"/>
          <w:b w:val="0"/>
          <w:i/>
          <w:sz w:val="28"/>
          <w:szCs w:val="28"/>
        </w:rPr>
        <w:t xml:space="preserve"> </w:t>
      </w:r>
    </w:p>
    <w:p w:rsidR="006F2F15" w:rsidRPr="001864EA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sz w:val="28"/>
          <w:szCs w:val="28"/>
        </w:rPr>
      </w:pPr>
      <w:r w:rsidRPr="001864EA">
        <w:rPr>
          <w:rFonts w:ascii="Garamond" w:hAnsi="Garamond"/>
          <w:color w:val="000000"/>
          <w:sz w:val="28"/>
          <w:szCs w:val="28"/>
        </w:rPr>
        <w:t>22/05/2013 a 31/12/2014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Bolsas Santander Luso-Brasileiras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Style w:val="Forte"/>
          <w:rFonts w:ascii="Garamond" w:hAnsi="Garamond"/>
          <w:b w:val="0"/>
          <w:i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</w:p>
    <w:p w:rsidR="006F2F15" w:rsidRPr="001864EA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Style w:val="Forte"/>
          <w:rFonts w:ascii="Garamond" w:hAnsi="Garamond"/>
          <w:b w:val="0"/>
          <w:i/>
          <w:sz w:val="28"/>
          <w:szCs w:val="28"/>
        </w:rPr>
      </w:pPr>
      <w:r w:rsidRPr="001864EA">
        <w:rPr>
          <w:rStyle w:val="Forte"/>
          <w:rFonts w:ascii="Garamond" w:hAnsi="Garamond"/>
          <w:b w:val="0"/>
          <w:i/>
          <w:sz w:val="28"/>
          <w:szCs w:val="28"/>
        </w:rPr>
        <w:t>27/06/2013 a 31/12/2014</w:t>
      </w:r>
    </w:p>
    <w:p w:rsidR="006F2F15" w:rsidRPr="00DC00A6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rPr>
          <w:rFonts w:ascii="Garamond" w:hAnsi="Garamond"/>
          <w:b/>
          <w:sz w:val="28"/>
          <w:szCs w:val="28"/>
        </w:rPr>
      </w:pPr>
      <w:r w:rsidRPr="0087600D">
        <w:rPr>
          <w:rFonts w:ascii="Garamond" w:hAnsi="Garamond"/>
          <w:b/>
          <w:sz w:val="28"/>
          <w:szCs w:val="28"/>
        </w:rPr>
        <w:t>Canadá</w:t>
      </w:r>
    </w:p>
    <w:p w:rsidR="006F2F15" w:rsidRPr="0087600D" w:rsidRDefault="006F2F15" w:rsidP="006F2F15">
      <w:pPr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  <w:lang w:val="fr-FR"/>
        </w:rPr>
      </w:pPr>
      <w:r w:rsidRPr="00023056">
        <w:rPr>
          <w:rFonts w:ascii="Garamond" w:hAnsi="Garamond"/>
          <w:color w:val="0000FF"/>
          <w:sz w:val="28"/>
          <w:szCs w:val="28"/>
          <w:lang w:val="fr-FR"/>
        </w:rPr>
        <w:t>Saint Mary’s University 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10/04/2013 a 09/04/2018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</w:t>
      </w:r>
    </w:p>
    <w:p w:rsidR="006F2F15" w:rsidRDefault="006F2F15" w:rsidP="006F2F15">
      <w:pPr>
        <w:rPr>
          <w:rFonts w:ascii="Garamond" w:hAnsi="Garamond"/>
          <w:b/>
          <w:sz w:val="28"/>
          <w:szCs w:val="28"/>
        </w:rPr>
      </w:pPr>
      <w:r w:rsidRPr="0087600D">
        <w:rPr>
          <w:rFonts w:ascii="Garamond" w:hAnsi="Garamond"/>
          <w:b/>
          <w:sz w:val="28"/>
          <w:szCs w:val="28"/>
        </w:rPr>
        <w:t>Colômbia</w:t>
      </w:r>
    </w:p>
    <w:p w:rsidR="006F2F15" w:rsidRPr="0087600D" w:rsidRDefault="006F2F15" w:rsidP="006F2F15">
      <w:pPr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Universidad de la Guajira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Fonts w:ascii="Garamond" w:hAnsi="Garamond"/>
          <w:sz w:val="28"/>
          <w:szCs w:val="28"/>
        </w:rPr>
        <w:br/>
        <w:t>18/11/2013 a 17/11/2018</w:t>
      </w:r>
    </w:p>
    <w:p w:rsidR="006F2F15" w:rsidRPr="0087600D" w:rsidRDefault="006F2F15" w:rsidP="006F2F15">
      <w:pPr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Espanha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Universidad de Sevilla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i/>
          <w:sz w:val="28"/>
          <w:szCs w:val="28"/>
        </w:rPr>
        <w:t xml:space="preserve">Validade </w:t>
      </w:r>
      <w:r w:rsidRPr="0087600D">
        <w:rPr>
          <w:rFonts w:ascii="Garamond" w:hAnsi="Garamond"/>
          <w:bCs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01/11/2013 a 31/10/2018.</w:t>
      </w:r>
    </w:p>
    <w:p w:rsidR="006F2F15" w:rsidRPr="0087600D" w:rsidRDefault="006F2F15" w:rsidP="006F2F15">
      <w:pPr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Universidad de Cordoba 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 xml:space="preserve">Validade 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22/04/2013 a 21/04/2018.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</w:rPr>
      </w:pPr>
      <w:r w:rsidRPr="0087600D">
        <w:rPr>
          <w:rFonts w:ascii="Garamond" w:hAnsi="Garamond"/>
          <w:b/>
          <w:sz w:val="28"/>
          <w:szCs w:val="28"/>
        </w:rPr>
        <w:t>Estados Unidos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>
        <w:rPr>
          <w:rFonts w:ascii="Garamond" w:hAnsi="Garamond"/>
          <w:color w:val="0000FF"/>
          <w:sz w:val="28"/>
          <w:szCs w:val="28"/>
        </w:rPr>
        <w:t>University of W</w:t>
      </w:r>
      <w:r w:rsidRPr="00023056">
        <w:rPr>
          <w:rFonts w:ascii="Garamond" w:hAnsi="Garamond"/>
          <w:color w:val="0000FF"/>
          <w:sz w:val="28"/>
          <w:szCs w:val="28"/>
        </w:rPr>
        <w:t>y</w:t>
      </w:r>
      <w:r>
        <w:rPr>
          <w:rFonts w:ascii="Garamond" w:hAnsi="Garamond"/>
          <w:color w:val="0000FF"/>
          <w:sz w:val="28"/>
          <w:szCs w:val="28"/>
        </w:rPr>
        <w:t>o</w:t>
      </w:r>
      <w:r w:rsidRPr="00023056">
        <w:rPr>
          <w:rFonts w:ascii="Garamond" w:hAnsi="Garamond"/>
          <w:color w:val="0000FF"/>
          <w:sz w:val="28"/>
          <w:szCs w:val="28"/>
        </w:rPr>
        <w:t>ming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i/>
          <w:sz w:val="28"/>
          <w:szCs w:val="28"/>
        </w:rPr>
        <w:t> </w:t>
      </w: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12/04/2013 a 11/04/2018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sz w:val="28"/>
          <w:szCs w:val="28"/>
          <w:lang w:val="fr-FR"/>
        </w:rPr>
      </w:pPr>
      <w:r w:rsidRPr="0087600D">
        <w:rPr>
          <w:rFonts w:ascii="Garamond" w:hAnsi="Garamond"/>
          <w:b/>
          <w:sz w:val="28"/>
          <w:szCs w:val="28"/>
          <w:lang w:val="fr-FR"/>
        </w:rPr>
        <w:t>França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sz w:val="28"/>
          <w:szCs w:val="28"/>
          <w:lang w:val="fr-FR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  <w:lang w:val="fr-FR"/>
        </w:rPr>
      </w:pPr>
      <w:r w:rsidRPr="00023056">
        <w:rPr>
          <w:rFonts w:ascii="Garamond" w:hAnsi="Garamond"/>
          <w:color w:val="0000FF"/>
          <w:sz w:val="28"/>
          <w:szCs w:val="28"/>
          <w:lang w:val="fr-FR"/>
        </w:rPr>
        <w:t>École des Hautes Études en Sciences Sociales de Paris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i/>
          <w:sz w:val="28"/>
          <w:szCs w:val="28"/>
          <w:lang w:val="fr-FR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  <w:lang w:val="fr-FR"/>
        </w:rPr>
        <w:t> Validade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  <w:r w:rsidRPr="0087600D">
        <w:rPr>
          <w:rFonts w:ascii="Garamond" w:hAnsi="Garamond"/>
          <w:sz w:val="28"/>
          <w:szCs w:val="28"/>
          <w:lang w:val="fr-FR"/>
        </w:rPr>
        <w:t>04/11/2013 a 03/11/2018</w:t>
      </w:r>
    </w:p>
    <w:p w:rsidR="006F2F15" w:rsidRPr="0087600D" w:rsidRDefault="006F2F15" w:rsidP="006F2F15">
      <w:pPr>
        <w:rPr>
          <w:rFonts w:ascii="Garamond" w:hAnsi="Garamond"/>
          <w:sz w:val="28"/>
          <w:szCs w:val="28"/>
          <w:lang w:val="fr-FR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color w:val="0000FF"/>
          <w:sz w:val="28"/>
          <w:szCs w:val="28"/>
          <w:lang w:val="fr-FR"/>
        </w:rPr>
      </w:pPr>
      <w:r w:rsidRPr="00023056">
        <w:rPr>
          <w:rStyle w:val="Forte"/>
          <w:rFonts w:ascii="Garamond" w:hAnsi="Garamond"/>
          <w:b w:val="0"/>
          <w:color w:val="0000FF"/>
          <w:sz w:val="28"/>
          <w:szCs w:val="28"/>
          <w:lang w:val="fr-FR"/>
        </w:rPr>
        <w:t>Université de Poitiers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i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  <w:r w:rsidRPr="0087600D">
        <w:rPr>
          <w:rStyle w:val="Forte"/>
          <w:rFonts w:ascii="Garamond" w:hAnsi="Garamond"/>
          <w:sz w:val="28"/>
          <w:szCs w:val="28"/>
          <w:lang w:val="fr-FR"/>
        </w:rPr>
        <w:t> </w:t>
      </w:r>
      <w:r w:rsidRPr="0087600D">
        <w:rPr>
          <w:rFonts w:ascii="Garamond" w:hAnsi="Garamond"/>
          <w:sz w:val="28"/>
          <w:szCs w:val="28"/>
          <w:lang w:val="fr-FR"/>
        </w:rPr>
        <w:t>13/09/2013 a 12/09/2018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  <w:r w:rsidRPr="0087600D">
        <w:rPr>
          <w:rFonts w:ascii="Garamond" w:hAnsi="Garamond"/>
          <w:sz w:val="28"/>
          <w:szCs w:val="28"/>
          <w:lang w:val="fr-FR"/>
        </w:rPr>
        <w:t> </w:t>
      </w: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color w:val="0000FF"/>
          <w:sz w:val="28"/>
          <w:szCs w:val="28"/>
          <w:lang w:val="fr-FR"/>
        </w:rPr>
      </w:pPr>
      <w:r w:rsidRPr="00023056">
        <w:rPr>
          <w:rStyle w:val="Forte"/>
          <w:rFonts w:ascii="Garamond" w:hAnsi="Garamond"/>
          <w:b w:val="0"/>
          <w:color w:val="0000FF"/>
          <w:sz w:val="28"/>
          <w:szCs w:val="28"/>
          <w:lang w:val="fr-FR"/>
        </w:rPr>
        <w:t>Institut de Mines-Télécom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i/>
          <w:sz w:val="28"/>
          <w:szCs w:val="28"/>
          <w:lang w:val="fr-FR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  <w:lang w:val="fr-FR"/>
        </w:rPr>
        <w:t>Validade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  <w:r w:rsidRPr="0087600D">
        <w:rPr>
          <w:rFonts w:ascii="Garamond" w:hAnsi="Garamond"/>
          <w:sz w:val="28"/>
          <w:szCs w:val="28"/>
          <w:lang w:val="fr-FR"/>
        </w:rPr>
        <w:t>29/08/13 a 28/08/2018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  <w:lang w:val="fr-FR"/>
        </w:rPr>
      </w:pPr>
      <w:r w:rsidRPr="00023056">
        <w:rPr>
          <w:rFonts w:ascii="Garamond" w:hAnsi="Garamond"/>
          <w:color w:val="0000FF"/>
          <w:sz w:val="28"/>
          <w:szCs w:val="28"/>
          <w:lang w:val="fr-FR"/>
        </w:rPr>
        <w:t>Université de Paris (Saint-Dennis)</w:t>
      </w:r>
      <w:r w:rsidR="00F1616E">
        <w:rPr>
          <w:rFonts w:ascii="Garamond" w:hAnsi="Garamond"/>
          <w:color w:val="0000FF"/>
          <w:sz w:val="28"/>
          <w:szCs w:val="28"/>
          <w:lang w:val="fr-FR"/>
        </w:rPr>
        <w:t xml:space="preserve">  - co-tutela</w:t>
      </w:r>
    </w:p>
    <w:p w:rsidR="006F2F15" w:rsidRPr="00DC00A6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i/>
          <w:sz w:val="28"/>
          <w:szCs w:val="28"/>
          <w:lang w:val="fr-FR"/>
        </w:rPr>
      </w:pPr>
      <w:r w:rsidRPr="00DC00A6">
        <w:rPr>
          <w:rFonts w:ascii="Garamond" w:hAnsi="Garamond"/>
          <w:i/>
          <w:sz w:val="28"/>
          <w:szCs w:val="28"/>
          <w:lang w:val="fr-FR"/>
        </w:rPr>
        <w:t>Validade</w:t>
      </w:r>
    </w:p>
    <w:p w:rsidR="00063FEB" w:rsidRPr="00063FEB" w:rsidRDefault="006F2F15" w:rsidP="00063FEB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color w:val="000000"/>
          <w:sz w:val="28"/>
          <w:szCs w:val="28"/>
        </w:rPr>
      </w:pPr>
      <w:r w:rsidRPr="00DC00A6">
        <w:rPr>
          <w:rFonts w:ascii="Garamond" w:hAnsi="Garamond"/>
          <w:color w:val="000000"/>
          <w:sz w:val="28"/>
          <w:szCs w:val="28"/>
        </w:rPr>
        <w:t>07/10/2013 a 06/10/2018</w:t>
      </w:r>
    </w:p>
    <w:p w:rsidR="00063FEB" w:rsidRDefault="00063FEB" w:rsidP="00063FEB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</w:p>
    <w:p w:rsidR="00063FEB" w:rsidRDefault="00063FEB" w:rsidP="00063FE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  <w:lang w:val="fr-FR"/>
        </w:rPr>
      </w:pPr>
      <w:r>
        <w:rPr>
          <w:rFonts w:ascii="Garamond" w:hAnsi="Garamond"/>
          <w:color w:val="0000FF"/>
          <w:sz w:val="28"/>
          <w:szCs w:val="28"/>
          <w:lang w:val="fr-FR"/>
        </w:rPr>
        <w:t>Centre International d’Études Supérieures en Sciences Agronomique (Montpellier SupAgro)</w:t>
      </w:r>
    </w:p>
    <w:p w:rsidR="00063FEB" w:rsidRDefault="00063FEB" w:rsidP="00063FEB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i/>
          <w:sz w:val="28"/>
          <w:szCs w:val="28"/>
          <w:lang w:val="fr-FR"/>
        </w:rPr>
      </w:pPr>
      <w:r w:rsidRPr="00DC00A6">
        <w:rPr>
          <w:rFonts w:ascii="Garamond" w:hAnsi="Garamond"/>
          <w:i/>
          <w:sz w:val="28"/>
          <w:szCs w:val="28"/>
          <w:lang w:val="fr-FR"/>
        </w:rPr>
        <w:t>Validade</w:t>
      </w:r>
    </w:p>
    <w:p w:rsidR="00063FEB" w:rsidRPr="00063FEB" w:rsidRDefault="00063FEB" w:rsidP="00063FEB">
      <w:pPr>
        <w:pStyle w:val="NormalWeb"/>
        <w:shd w:val="clear" w:color="auto" w:fill="FFFFFF"/>
        <w:spacing w:before="0" w:beforeAutospacing="0" w:after="135" w:afterAutospacing="0" w:line="270" w:lineRule="atLeast"/>
        <w:ind w:left="360"/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12/06/12 a 11/06/2017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  <w:lang w:val="fr-FR"/>
        </w:rPr>
      </w:pPr>
      <w:r w:rsidRPr="0087600D">
        <w:rPr>
          <w:rFonts w:ascii="Garamond" w:hAnsi="Garamond"/>
          <w:sz w:val="28"/>
          <w:szCs w:val="28"/>
          <w:lang w:val="fr-FR"/>
        </w:rPr>
        <w:t> 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  <w:lang w:val="fr-FR"/>
        </w:rPr>
      </w:pPr>
      <w:r w:rsidRPr="0087600D">
        <w:rPr>
          <w:rFonts w:ascii="Garamond" w:hAnsi="Garamond"/>
          <w:b/>
          <w:sz w:val="28"/>
          <w:szCs w:val="28"/>
          <w:lang w:val="fr-FR"/>
        </w:rPr>
        <w:t> Holanda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  <w:lang w:val="fr-FR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  <w:lang w:val="fr-FR"/>
        </w:rPr>
      </w:pPr>
      <w:r w:rsidRPr="00023056">
        <w:rPr>
          <w:rFonts w:ascii="Garamond" w:hAnsi="Garamond"/>
          <w:color w:val="0000FF"/>
          <w:sz w:val="28"/>
          <w:szCs w:val="28"/>
          <w:lang w:val="fr-FR"/>
        </w:rPr>
        <w:t>Fontys University of Applied Sciences 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i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 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24/04/2013 a 23/04/2018</w:t>
      </w:r>
    </w:p>
    <w:p w:rsidR="006F2F15" w:rsidRDefault="006F2F15" w:rsidP="006F2F15">
      <w:pPr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rPr>
          <w:rFonts w:ascii="Garamond" w:hAnsi="Garamond"/>
          <w:b/>
          <w:sz w:val="28"/>
          <w:szCs w:val="28"/>
        </w:rPr>
      </w:pPr>
      <w:r w:rsidRPr="0087600D">
        <w:rPr>
          <w:rFonts w:ascii="Garamond" w:hAnsi="Garamond"/>
          <w:b/>
          <w:sz w:val="28"/>
          <w:szCs w:val="28"/>
        </w:rPr>
        <w:t>Itália</w:t>
      </w:r>
    </w:p>
    <w:p w:rsidR="006F2F15" w:rsidRPr="0087600D" w:rsidRDefault="006F2F15" w:rsidP="006F2F15">
      <w:pPr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color w:val="0000FF"/>
          <w:sz w:val="28"/>
          <w:szCs w:val="28"/>
        </w:rPr>
      </w:pPr>
      <w:r w:rsidRPr="00023056">
        <w:rPr>
          <w:rStyle w:val="Forte"/>
          <w:rFonts w:ascii="Garamond" w:hAnsi="Garamond"/>
          <w:b w:val="0"/>
          <w:color w:val="0000FF"/>
          <w:sz w:val="28"/>
          <w:szCs w:val="28"/>
          <w:shd w:val="clear" w:color="auto" w:fill="FFFFFF"/>
        </w:rPr>
        <w:t>Università Degli Studi di Padova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 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De 28/05/2013 a 27/05/2018</w:t>
      </w:r>
    </w:p>
    <w:p w:rsidR="006F2F15" w:rsidRPr="0087600D" w:rsidRDefault="006F2F15" w:rsidP="006F2F15">
      <w:pPr>
        <w:shd w:val="clear" w:color="auto" w:fill="FFFFFF"/>
        <w:spacing w:line="30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</w:t>
      </w:r>
    </w:p>
    <w:p w:rsidR="006F2F15" w:rsidRPr="00023056" w:rsidRDefault="006F2F15" w:rsidP="006F2F15">
      <w:pPr>
        <w:numPr>
          <w:ilvl w:val="0"/>
          <w:numId w:val="6"/>
        </w:numPr>
        <w:shd w:val="clear" w:color="auto" w:fill="FFFFFF"/>
        <w:spacing w:line="300" w:lineRule="atLeast"/>
        <w:jc w:val="both"/>
        <w:rPr>
          <w:rFonts w:ascii="Garamond" w:hAnsi="Garamond"/>
          <w:b/>
          <w:color w:val="0000FF"/>
          <w:sz w:val="28"/>
          <w:szCs w:val="28"/>
          <w:lang w:val="fr-FR"/>
        </w:rPr>
      </w:pPr>
      <w:r w:rsidRPr="00023056">
        <w:rPr>
          <w:rStyle w:val="Forte"/>
          <w:rFonts w:ascii="Garamond" w:hAnsi="Garamond"/>
          <w:b w:val="0"/>
          <w:color w:val="0000FF"/>
          <w:sz w:val="28"/>
          <w:szCs w:val="28"/>
          <w:lang w:val="fr-FR"/>
        </w:rPr>
        <w:t>Università degli Studi di Milano 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De 23/08/2013 a 22/08/2018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</w:t>
      </w: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color w:val="0000FF"/>
          <w:sz w:val="28"/>
          <w:szCs w:val="28"/>
        </w:rPr>
      </w:pPr>
      <w:r w:rsidRPr="00023056">
        <w:rPr>
          <w:rStyle w:val="Forte"/>
          <w:rFonts w:ascii="Garamond" w:hAnsi="Garamond"/>
          <w:b w:val="0"/>
          <w:color w:val="0000FF"/>
          <w:sz w:val="28"/>
          <w:szCs w:val="28"/>
        </w:rPr>
        <w:t>Università di Bologna</w:t>
      </w:r>
      <w:r w:rsidRPr="00023056">
        <w:rPr>
          <w:rFonts w:ascii="Garamond" w:hAnsi="Garamond"/>
          <w:b/>
          <w:color w:val="0000FF"/>
          <w:sz w:val="28"/>
          <w:szCs w:val="28"/>
        </w:rPr>
        <w:t> </w:t>
      </w:r>
    </w:p>
    <w:p w:rsidR="006F2F15" w:rsidRDefault="006F2F15" w:rsidP="006F2F15">
      <w:pPr>
        <w:shd w:val="clear" w:color="auto" w:fill="FFFFFF"/>
        <w:spacing w:line="30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10/09/2013 a 09/09/2018</w:t>
      </w:r>
    </w:p>
    <w:p w:rsidR="006F2F15" w:rsidRDefault="006F2F15" w:rsidP="006F2F15">
      <w:pPr>
        <w:shd w:val="clear" w:color="auto" w:fill="FFFFFF"/>
        <w:spacing w:line="300" w:lineRule="atLeast"/>
        <w:jc w:val="both"/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shd w:val="clear" w:color="auto" w:fill="FFFFFF"/>
        <w:spacing w:line="300" w:lineRule="atLeast"/>
        <w:jc w:val="both"/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shd w:val="clear" w:color="auto" w:fill="FFFFFF"/>
        <w:spacing w:line="300" w:lineRule="atLeast"/>
        <w:jc w:val="both"/>
        <w:rPr>
          <w:rFonts w:ascii="Garamond" w:hAnsi="Garamond"/>
          <w:sz w:val="28"/>
          <w:szCs w:val="28"/>
        </w:rPr>
      </w:pPr>
    </w:p>
    <w:p w:rsidR="006F2F15" w:rsidRPr="004F61CB" w:rsidRDefault="006F2F15" w:rsidP="006F2F15">
      <w:pPr>
        <w:shd w:val="clear" w:color="auto" w:fill="FFFFFF"/>
        <w:spacing w:line="300" w:lineRule="atLeast"/>
        <w:jc w:val="both"/>
        <w:rPr>
          <w:rFonts w:ascii="Garamond" w:hAnsi="Garamond"/>
          <w:b/>
          <w:sz w:val="28"/>
          <w:szCs w:val="28"/>
        </w:rPr>
      </w:pPr>
      <w:r w:rsidRPr="004F61CB">
        <w:rPr>
          <w:rFonts w:ascii="Garamond" w:hAnsi="Garamond"/>
          <w:b/>
          <w:sz w:val="28"/>
          <w:szCs w:val="28"/>
        </w:rPr>
        <w:t>México</w:t>
      </w:r>
    </w:p>
    <w:p w:rsidR="006F2F15" w:rsidRDefault="006F2F15" w:rsidP="006F2F15">
      <w:pPr>
        <w:shd w:val="clear" w:color="auto" w:fill="FFFFFF"/>
        <w:spacing w:line="300" w:lineRule="atLeast"/>
        <w:jc w:val="both"/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numPr>
          <w:ilvl w:val="0"/>
          <w:numId w:val="6"/>
        </w:numPr>
        <w:shd w:val="clear" w:color="auto" w:fill="FFFFFF"/>
        <w:spacing w:line="30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El Colégio Mexiquense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i/>
          <w:sz w:val="28"/>
          <w:szCs w:val="28"/>
        </w:rPr>
        <w:t> </w:t>
      </w:r>
      <w:r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  <w:r w:rsidRPr="0087600D">
        <w:rPr>
          <w:rStyle w:val="Forte"/>
          <w:rFonts w:ascii="Garamond" w:hAnsi="Garamond"/>
          <w:i/>
          <w:sz w:val="28"/>
          <w:szCs w:val="28"/>
        </w:rPr>
        <w:t xml:space="preserve"> :</w:t>
      </w:r>
      <w:r w:rsidRPr="0087600D">
        <w:rPr>
          <w:rFonts w:ascii="Garamond" w:hAnsi="Garamond"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De 07/01/2013 a 06/01/2018.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Universidad Nacional Autônoma de Mexico 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Style w:val="Forte"/>
          <w:rFonts w:ascii="Garamond" w:hAnsi="Garamond"/>
          <w:b w:val="0"/>
          <w:i/>
          <w:sz w:val="28"/>
          <w:szCs w:val="28"/>
        </w:rPr>
        <w:t>Validade </w:t>
      </w:r>
      <w:r w:rsidRPr="0087600D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De 02/07/2013 a 01/07/2018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sz w:val="28"/>
          <w:szCs w:val="28"/>
        </w:rPr>
      </w:pPr>
      <w:r w:rsidRPr="004F61CB">
        <w:rPr>
          <w:rFonts w:ascii="Garamond" w:hAnsi="Garamond"/>
          <w:b/>
          <w:sz w:val="28"/>
          <w:szCs w:val="28"/>
        </w:rPr>
        <w:t>Portugal</w:t>
      </w:r>
    </w:p>
    <w:p w:rsidR="006F2F15" w:rsidRPr="004F61CB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Universidade de Aveiro</w:t>
      </w:r>
    </w:p>
    <w:p w:rsidR="006F2F15" w:rsidRPr="004F61CB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i/>
          <w:sz w:val="28"/>
          <w:szCs w:val="28"/>
        </w:rPr>
      </w:pPr>
      <w:r w:rsidRPr="004F61CB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25/01/2013 a 24/01/2018</w:t>
      </w:r>
    </w:p>
    <w:p w:rsidR="006F2F15" w:rsidRPr="0087600D" w:rsidRDefault="006F2F15" w:rsidP="006F2F15">
      <w:pPr>
        <w:rPr>
          <w:rFonts w:ascii="Garamond" w:hAnsi="Garamond"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Instituto Politécnico de Bragança</w:t>
      </w:r>
    </w:p>
    <w:p w:rsidR="006F2F15" w:rsidRPr="004F61CB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i/>
          <w:sz w:val="28"/>
          <w:szCs w:val="28"/>
        </w:rPr>
      </w:pPr>
      <w:r w:rsidRPr="004F61CB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28-01-2013 a27-01-2018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</w:t>
      </w: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Instituto Politécnico de Setúbal </w:t>
      </w:r>
    </w:p>
    <w:p w:rsidR="006F2F15" w:rsidRPr="004F61CB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b/>
          <w:i/>
          <w:sz w:val="28"/>
          <w:szCs w:val="28"/>
        </w:rPr>
      </w:pPr>
      <w:r w:rsidRPr="004F61CB">
        <w:rPr>
          <w:rStyle w:val="Forte"/>
          <w:rFonts w:ascii="Garamond" w:hAnsi="Garamond"/>
          <w:b w:val="0"/>
          <w:i/>
          <w:sz w:val="28"/>
          <w:szCs w:val="28"/>
        </w:rPr>
        <w:t>Validade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21/06/2013 a 20/06/2018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 </w:t>
      </w: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Instituto Politécnico do Cávado e do Ave</w:t>
      </w:r>
    </w:p>
    <w:p w:rsidR="006F2F15" w:rsidRPr="004F61CB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Validade</w:t>
      </w:r>
    </w:p>
    <w:p w:rsidR="006F2F15" w:rsidRPr="0087600D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Garamond" w:hAnsi="Garamond"/>
          <w:sz w:val="28"/>
          <w:szCs w:val="28"/>
        </w:rPr>
      </w:pPr>
      <w:r w:rsidRPr="0087600D">
        <w:rPr>
          <w:rFonts w:ascii="Garamond" w:hAnsi="Garamond"/>
          <w:sz w:val="28"/>
          <w:szCs w:val="28"/>
        </w:rPr>
        <w:t>21/10/2013 a 20/10/2018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</w:rPr>
      </w:pPr>
      <w:r w:rsidRPr="004F61CB">
        <w:rPr>
          <w:rFonts w:ascii="Garamond" w:hAnsi="Garamond"/>
          <w:b/>
          <w:sz w:val="28"/>
          <w:szCs w:val="28"/>
        </w:rPr>
        <w:t>Suécia</w:t>
      </w:r>
    </w:p>
    <w:p w:rsidR="006F2F15" w:rsidRPr="004F61CB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b/>
          <w:sz w:val="28"/>
          <w:szCs w:val="28"/>
        </w:rPr>
      </w:pPr>
    </w:p>
    <w:p w:rsidR="006F2F15" w:rsidRPr="00023056" w:rsidRDefault="006F2F15" w:rsidP="006F2F1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color w:val="0000FF"/>
          <w:sz w:val="28"/>
          <w:szCs w:val="28"/>
        </w:rPr>
      </w:pPr>
      <w:r w:rsidRPr="00023056">
        <w:rPr>
          <w:rFonts w:ascii="Garamond" w:hAnsi="Garamond"/>
          <w:color w:val="0000FF"/>
          <w:sz w:val="28"/>
          <w:szCs w:val="28"/>
        </w:rPr>
        <w:t>Malmö University</w:t>
      </w:r>
    </w:p>
    <w:p w:rsidR="006F2F15" w:rsidRDefault="006F2F15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 w:rsidRPr="004F61CB">
        <w:rPr>
          <w:rStyle w:val="Forte"/>
          <w:rFonts w:ascii="Garamond" w:hAnsi="Garamond"/>
          <w:b w:val="0"/>
          <w:i/>
          <w:sz w:val="28"/>
          <w:szCs w:val="28"/>
        </w:rPr>
        <w:t>Validade </w:t>
      </w:r>
      <w:r w:rsidRPr="004F61CB">
        <w:rPr>
          <w:rFonts w:ascii="Garamond" w:hAnsi="Garamond"/>
          <w:b/>
          <w:i/>
          <w:sz w:val="28"/>
          <w:szCs w:val="28"/>
        </w:rPr>
        <w:br/>
      </w:r>
      <w:r w:rsidRPr="0087600D">
        <w:rPr>
          <w:rFonts w:ascii="Garamond" w:hAnsi="Garamond"/>
          <w:sz w:val="28"/>
          <w:szCs w:val="28"/>
        </w:rPr>
        <w:t>De 13/03/2013 a 12/03/2016</w:t>
      </w:r>
    </w:p>
    <w:p w:rsidR="00A44662" w:rsidRDefault="00A44662" w:rsidP="006F2F15">
      <w:pPr>
        <w:pStyle w:val="NormalWeb"/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</w:p>
    <w:p w:rsidR="00A44662" w:rsidRDefault="00A44662" w:rsidP="00A4466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5" w:afterAutospacing="0" w:line="27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Convênios assinados em 2013: distribuição por país</w:t>
      </w:r>
    </w:p>
    <w:p w:rsidR="00A44662" w:rsidRPr="0087600D" w:rsidRDefault="00A44662" w:rsidP="00A44662">
      <w:pPr>
        <w:pStyle w:val="NormalWeb"/>
        <w:shd w:val="clear" w:color="auto" w:fill="FFFFFF"/>
        <w:spacing w:before="0" w:beforeAutospacing="0" w:after="135" w:afterAutospacing="0" w:line="270" w:lineRule="atLeast"/>
        <w:ind w:left="720"/>
        <w:rPr>
          <w:rFonts w:ascii="Garamond" w:hAnsi="Garamond"/>
          <w:sz w:val="28"/>
          <w:szCs w:val="28"/>
        </w:rPr>
      </w:pPr>
    </w:p>
    <w:p w:rsidR="006F2F15" w:rsidRDefault="006F2F15" w:rsidP="006F2F15">
      <w:pPr>
        <w:rPr>
          <w:rFonts w:ascii="Garamond" w:hAnsi="Garamond"/>
          <w:sz w:val="28"/>
          <w:szCs w:val="28"/>
        </w:rPr>
      </w:pPr>
    </w:p>
    <w:p w:rsidR="004275C3" w:rsidRPr="0095348D" w:rsidRDefault="00A44662">
      <w:pPr>
        <w:rPr>
          <w:rFonts w:ascii="Mangal" w:hAnsi="Mangal" w:cs="Mangal" w:hint="eastAsia"/>
          <w:sz w:val="28"/>
          <w:szCs w:val="28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600700" cy="6396567"/>
            <wp:effectExtent l="0" t="0" r="12700" b="298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4275C3" w:rsidRPr="0095348D" w:rsidSect="00336B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7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4A6D"/>
    <w:multiLevelType w:val="hybridMultilevel"/>
    <w:tmpl w:val="B5F61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36F6"/>
    <w:multiLevelType w:val="hybridMultilevel"/>
    <w:tmpl w:val="68AE4A8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4710F"/>
    <w:multiLevelType w:val="hybridMultilevel"/>
    <w:tmpl w:val="4C82649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2C44"/>
    <w:multiLevelType w:val="hybridMultilevel"/>
    <w:tmpl w:val="DDCA3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7FEE"/>
    <w:multiLevelType w:val="hybridMultilevel"/>
    <w:tmpl w:val="573AE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579A0"/>
    <w:multiLevelType w:val="hybridMultilevel"/>
    <w:tmpl w:val="4C82649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3FB8"/>
    <w:multiLevelType w:val="hybridMultilevel"/>
    <w:tmpl w:val="693EF47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1ABF"/>
    <w:multiLevelType w:val="hybridMultilevel"/>
    <w:tmpl w:val="7ECE34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>
    <w:useFELayout/>
  </w:compat>
  <w:rsids>
    <w:rsidRoot w:val="001F65A6"/>
    <w:rsid w:val="000364A9"/>
    <w:rsid w:val="00062689"/>
    <w:rsid w:val="00063FEB"/>
    <w:rsid w:val="000C0D37"/>
    <w:rsid w:val="00105C81"/>
    <w:rsid w:val="001F65A6"/>
    <w:rsid w:val="00253631"/>
    <w:rsid w:val="002548B1"/>
    <w:rsid w:val="002F4AB2"/>
    <w:rsid w:val="0030488A"/>
    <w:rsid w:val="00311C0A"/>
    <w:rsid w:val="00336B55"/>
    <w:rsid w:val="00354FF3"/>
    <w:rsid w:val="00361CE7"/>
    <w:rsid w:val="003F1CCE"/>
    <w:rsid w:val="00416399"/>
    <w:rsid w:val="004275C3"/>
    <w:rsid w:val="004353F0"/>
    <w:rsid w:val="004941DB"/>
    <w:rsid w:val="004C562C"/>
    <w:rsid w:val="0051407F"/>
    <w:rsid w:val="00527FDA"/>
    <w:rsid w:val="00553849"/>
    <w:rsid w:val="00554834"/>
    <w:rsid w:val="005E2D7F"/>
    <w:rsid w:val="00631150"/>
    <w:rsid w:val="00652AA1"/>
    <w:rsid w:val="006F2F15"/>
    <w:rsid w:val="006F7A4B"/>
    <w:rsid w:val="0074086A"/>
    <w:rsid w:val="00757162"/>
    <w:rsid w:val="007A003F"/>
    <w:rsid w:val="007C039C"/>
    <w:rsid w:val="007C6609"/>
    <w:rsid w:val="008958ED"/>
    <w:rsid w:val="008D081E"/>
    <w:rsid w:val="009403BA"/>
    <w:rsid w:val="0095348D"/>
    <w:rsid w:val="00973DBF"/>
    <w:rsid w:val="00992261"/>
    <w:rsid w:val="00A21928"/>
    <w:rsid w:val="00A228C7"/>
    <w:rsid w:val="00A44662"/>
    <w:rsid w:val="00A46ABB"/>
    <w:rsid w:val="00A54393"/>
    <w:rsid w:val="00AA0F97"/>
    <w:rsid w:val="00AB53D7"/>
    <w:rsid w:val="00AE74F6"/>
    <w:rsid w:val="00B21D8C"/>
    <w:rsid w:val="00B37F2D"/>
    <w:rsid w:val="00C50C9A"/>
    <w:rsid w:val="00C7647B"/>
    <w:rsid w:val="00D44558"/>
    <w:rsid w:val="00D87E81"/>
    <w:rsid w:val="00DA3657"/>
    <w:rsid w:val="00E450B4"/>
    <w:rsid w:val="00E7354B"/>
    <w:rsid w:val="00ED2E8A"/>
    <w:rsid w:val="00F13872"/>
    <w:rsid w:val="00F1616E"/>
    <w:rsid w:val="00F24477"/>
    <w:rsid w:val="00F9573B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5A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5A6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50C9A"/>
    <w:pPr>
      <w:ind w:left="720"/>
      <w:contextualSpacing/>
    </w:pPr>
  </w:style>
  <w:style w:type="paragraph" w:customStyle="1" w:styleId="western">
    <w:name w:val="western"/>
    <w:basedOn w:val="Normal"/>
    <w:rsid w:val="00D44558"/>
    <w:pPr>
      <w:spacing w:before="100" w:beforeAutospacing="1" w:after="119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rsid w:val="006F2F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6F2F15"/>
    <w:rPr>
      <w:b/>
      <w:bCs/>
    </w:rPr>
  </w:style>
  <w:style w:type="table" w:styleId="Tabelacomgrade">
    <w:name w:val="Table Grid"/>
    <w:basedOn w:val="Tabelanormal"/>
    <w:uiPriority w:val="59"/>
    <w:rsid w:val="00DA3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C9A"/>
    <w:pPr>
      <w:ind w:left="720"/>
      <w:contextualSpacing/>
    </w:pPr>
  </w:style>
  <w:style w:type="paragraph" w:customStyle="1" w:styleId="western">
    <w:name w:val="western"/>
    <w:basedOn w:val="Normal"/>
    <w:rsid w:val="00D44558"/>
    <w:pPr>
      <w:spacing w:before="100" w:beforeAutospacing="1" w:after="119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rsid w:val="006F2F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basedOn w:val="DefaultParagraphFont"/>
    <w:qFormat/>
    <w:rsid w:val="006F2F15"/>
    <w:rPr>
      <w:b/>
      <w:bCs/>
    </w:rPr>
  </w:style>
  <w:style w:type="table" w:styleId="TableGrid">
    <w:name w:val="Table Grid"/>
    <w:basedOn w:val="TableNormal"/>
    <w:uiPriority w:val="59"/>
    <w:rsid w:val="00DA3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image" Target="media/image3.e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oleObject" Target="embeddings/oleObject1.bin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hyperlink" Target="http://nec.cai.ufg.br/pages/49150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wnloads:MOBILIDADE%202013-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Vindas%202013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Vindas%202013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wnloads:MOBILIDADE%202013%20VINDAS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Vindas%202013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wnloads:MOBILIDADE%202013%20VINDAS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Library:Application%20Support:Microsoft:Office:Office%202011%20AutoRecovery:Vindas%202013%20(version%20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MOBILIDADE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MOBILIDADE%20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MOBILIDADE%20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MOBILIDADE%20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MOBILIDADE%2020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MOBILIDADE%20201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cuments:MOBILIDADE%20201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firbergemann:Downloads:MOBILIDADE%202013%20VIND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Plan1!$A$684:$A$694</c:f>
              <c:strCache>
                <c:ptCount val="11"/>
                <c:pt idx="0">
                  <c:v>2003 (12)</c:v>
                </c:pt>
                <c:pt idx="1">
                  <c:v>2004 (7)</c:v>
                </c:pt>
                <c:pt idx="2">
                  <c:v>2005 (8)</c:v>
                </c:pt>
                <c:pt idx="3">
                  <c:v>2006 (8)</c:v>
                </c:pt>
                <c:pt idx="4">
                  <c:v>2007 (31)</c:v>
                </c:pt>
                <c:pt idx="5">
                  <c:v>2008 (48)</c:v>
                </c:pt>
                <c:pt idx="6">
                  <c:v>2009 (92)</c:v>
                </c:pt>
                <c:pt idx="7">
                  <c:v>2010 (124)</c:v>
                </c:pt>
                <c:pt idx="8">
                  <c:v>2011 (149)</c:v>
                </c:pt>
                <c:pt idx="9">
                  <c:v>2012 (252)</c:v>
                </c:pt>
                <c:pt idx="10">
                  <c:v>2013 (400)</c:v>
                </c:pt>
              </c:strCache>
            </c:strRef>
          </c:cat>
          <c:val>
            <c:numRef>
              <c:f>Plan1!$B$684:$B$694</c:f>
              <c:numCache>
                <c:formatCode>General</c:formatCode>
                <c:ptCount val="11"/>
                <c:pt idx="0">
                  <c:v>12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31</c:v>
                </c:pt>
                <c:pt idx="5">
                  <c:v>48</c:v>
                </c:pt>
                <c:pt idx="6">
                  <c:v>92</c:v>
                </c:pt>
                <c:pt idx="7">
                  <c:v>124</c:v>
                </c:pt>
                <c:pt idx="8">
                  <c:v>149</c:v>
                </c:pt>
                <c:pt idx="9">
                  <c:v>252</c:v>
                </c:pt>
                <c:pt idx="10">
                  <c:v>400</c:v>
                </c:pt>
              </c:numCache>
            </c:numRef>
          </c:val>
        </c:ser>
        <c:marker val="1"/>
        <c:axId val="101291520"/>
        <c:axId val="101293056"/>
      </c:lineChart>
      <c:catAx>
        <c:axId val="1012915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01293056"/>
        <c:crosses val="autoZero"/>
        <c:auto val="1"/>
        <c:lblAlgn val="ctr"/>
        <c:lblOffset val="100"/>
      </c:catAx>
      <c:valAx>
        <c:axId val="101293056"/>
        <c:scaling>
          <c:orientation val="minMax"/>
        </c:scaling>
        <c:axPos val="l"/>
        <c:majorGridlines/>
        <c:numFmt formatCode="General" sourceLinked="1"/>
        <c:tickLblPos val="nextTo"/>
        <c:crossAx val="101291520"/>
        <c:crosses val="autoZero"/>
        <c:crossBetween val="between"/>
      </c:valAx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Plan1!$A$372:$A$376</c:f>
              <c:strCache>
                <c:ptCount val="5"/>
                <c:pt idx="0">
                  <c:v>América  (33)</c:v>
                </c:pt>
                <c:pt idx="1">
                  <c:v>África  (15)</c:v>
                </c:pt>
                <c:pt idx="2">
                  <c:v>Europa  (15) </c:v>
                </c:pt>
                <c:pt idx="3">
                  <c:v>Ásia (0)</c:v>
                </c:pt>
                <c:pt idx="4">
                  <c:v>Oceania (0)</c:v>
                </c:pt>
              </c:strCache>
            </c:strRef>
          </c:cat>
          <c:val>
            <c:numRef>
              <c:f>Plan1!$B$372:$B$376</c:f>
              <c:numCache>
                <c:formatCode>General</c:formatCode>
                <c:ptCount val="5"/>
                <c:pt idx="0">
                  <c:v>33</c:v>
                </c:pt>
                <c:pt idx="1">
                  <c:v>15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85427328"/>
        <c:axId val="85428864"/>
        <c:axId val="0"/>
      </c:bar3DChart>
      <c:catAx>
        <c:axId val="854273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85428864"/>
        <c:crosses val="autoZero"/>
        <c:auto val="1"/>
        <c:lblAlgn val="ctr"/>
        <c:lblOffset val="100"/>
      </c:catAx>
      <c:valAx>
        <c:axId val="85428864"/>
        <c:scaling>
          <c:orientation val="minMax"/>
        </c:scaling>
        <c:axPos val="l"/>
        <c:majorGridlines/>
        <c:numFmt formatCode="General" sourceLinked="1"/>
        <c:tickLblPos val="nextTo"/>
        <c:crossAx val="85427328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doughnutChart>
        <c:varyColors val="1"/>
        <c:ser>
          <c:idx val="0"/>
          <c:order val="0"/>
          <c:explosion val="25"/>
          <c:cat>
            <c:strRef>
              <c:f>Plan1!$A$250:$A$260</c:f>
              <c:strCache>
                <c:ptCount val="11"/>
                <c:pt idx="0">
                  <c:v>PIAI  (16)</c:v>
                </c:pt>
                <c:pt idx="1">
                  <c:v>Capes-Fipse (14)</c:v>
                </c:pt>
                <c:pt idx="2">
                  <c:v>PFCMA (8)</c:v>
                </c:pt>
                <c:pt idx="3">
                  <c:v>PROFOR (7)</c:v>
                </c:pt>
                <c:pt idx="4">
                  <c:v>Escala Estudantil AUGM (4)</c:v>
                </c:pt>
                <c:pt idx="5">
                  <c:v>MARCA (4)</c:v>
                </c:pt>
                <c:pt idx="6">
                  <c:v>Becas Santander Iberoamérica Estudiantes de Grado (4)</c:v>
                </c:pt>
                <c:pt idx="7">
                  <c:v>CAPES-Mercosul (2)</c:v>
                </c:pt>
                <c:pt idx="8">
                  <c:v>Capes-Unibral (2)</c:v>
                </c:pt>
                <c:pt idx="9">
                  <c:v>Bramex (1)</c:v>
                </c:pt>
                <c:pt idx="10">
                  <c:v>Programa Movilidad Mercosur-PMM (1)</c:v>
                </c:pt>
              </c:strCache>
            </c:strRef>
          </c:cat>
          <c:val>
            <c:numRef>
              <c:f>Plan1!$B$250:$B$260</c:f>
              <c:numCache>
                <c:formatCode>General</c:formatCode>
                <c:ptCount val="11"/>
                <c:pt idx="0">
                  <c:v>16</c:v>
                </c:pt>
                <c:pt idx="1">
                  <c:v>14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973854473010105"/>
          <c:y val="3.8570274869487498E-2"/>
          <c:w val="0.33411687695664533"/>
          <c:h val="0.92285945026102523"/>
        </c:manualLayout>
      </c:layout>
      <c:txPr>
        <a:bodyPr/>
        <a:lstStyle/>
        <a:p>
          <a:pPr>
            <a:defRPr sz="1100" b="1"/>
          </a:pPr>
          <a:endParaRPr lang="pt-BR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barChart>
        <c:barDir val="bar"/>
        <c:grouping val="clustered"/>
        <c:ser>
          <c:idx val="0"/>
          <c:order val="0"/>
          <c:cat>
            <c:strRef>
              <c:f>Plan1!$A$274:$A$294</c:f>
              <c:strCache>
                <c:ptCount val="21"/>
                <c:pt idx="0">
                  <c:v>Agronomia (10)</c:v>
                </c:pt>
                <c:pt idx="1">
                  <c:v>Administração (9)</c:v>
                </c:pt>
                <c:pt idx="2">
                  <c:v>Ciências biológicas (8)</c:v>
                </c:pt>
                <c:pt idx="3">
                  <c:v>Música (6)</c:v>
                </c:pt>
                <c:pt idx="4">
                  <c:v>Engenharia Civil (4)</c:v>
                </c:pt>
                <c:pt idx="5">
                  <c:v>Geografia (4)</c:v>
                </c:pt>
                <c:pt idx="6">
                  <c:v>Enfermagem (4)</c:v>
                </c:pt>
                <c:pt idx="7">
                  <c:v>Letras (3)</c:v>
                </c:pt>
                <c:pt idx="8">
                  <c:v>História (2)</c:v>
                </c:pt>
                <c:pt idx="9">
                  <c:v>Artes Cênicas (2)</c:v>
                </c:pt>
                <c:pt idx="10">
                  <c:v>Design gráfico (1)</c:v>
                </c:pt>
                <c:pt idx="11">
                  <c:v>Odontologia (1)</c:v>
                </c:pt>
                <c:pt idx="12">
                  <c:v>Física (1)</c:v>
                </c:pt>
                <c:pt idx="13">
                  <c:v>Ciências Sociais (1)</c:v>
                </c:pt>
                <c:pt idx="14">
                  <c:v>Engenharia Ambiental e Sanitária (1)</c:v>
                </c:pt>
                <c:pt idx="15">
                  <c:v>Jornalismo (1)</c:v>
                </c:pt>
                <c:pt idx="16">
                  <c:v>Economia (1)</c:v>
                </c:pt>
                <c:pt idx="17">
                  <c:v>Publicidade e Propaganda (1)</c:v>
                </c:pt>
                <c:pt idx="18">
                  <c:v>Engenharia Elétrica (1)</c:v>
                </c:pt>
                <c:pt idx="19">
                  <c:v>Zootecnia (1)</c:v>
                </c:pt>
                <c:pt idx="20">
                  <c:v>Comunicação (1)</c:v>
                </c:pt>
              </c:strCache>
            </c:strRef>
          </c:cat>
          <c:val>
            <c:numRef>
              <c:f>Plan1!$B$274:$B$294</c:f>
              <c:numCache>
                <c:formatCode>General</c:formatCode>
                <c:ptCount val="2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axId val="108351488"/>
        <c:axId val="108353024"/>
      </c:barChart>
      <c:catAx>
        <c:axId val="10835148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pt-BR"/>
          </a:p>
        </c:txPr>
        <c:crossAx val="108353024"/>
        <c:crosses val="autoZero"/>
        <c:auto val="1"/>
        <c:lblAlgn val="ctr"/>
        <c:lblOffset val="100"/>
      </c:catAx>
      <c:valAx>
        <c:axId val="108353024"/>
        <c:scaling>
          <c:orientation val="minMax"/>
        </c:scaling>
        <c:axPos val="b"/>
        <c:majorGridlines/>
        <c:numFmt formatCode="General" sourceLinked="1"/>
        <c:tickLblPos val="nextTo"/>
        <c:crossAx val="108351488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Plan1!$A$398:$A$401</c:f>
              <c:strCache>
                <c:ptCount val="4"/>
                <c:pt idx="0">
                  <c:v>Goiânia (63)</c:v>
                </c:pt>
                <c:pt idx="1">
                  <c:v>Catalão (0)</c:v>
                </c:pt>
                <c:pt idx="2">
                  <c:v>Jataí (0)</c:v>
                </c:pt>
                <c:pt idx="3">
                  <c:v>Goiás (0)</c:v>
                </c:pt>
              </c:strCache>
            </c:strRef>
          </c:cat>
          <c:val>
            <c:numRef>
              <c:f>Plan1!$B$398:$B$401</c:f>
              <c:numCache>
                <c:formatCode>General</c:formatCode>
                <c:ptCount val="4"/>
                <c:pt idx="0">
                  <c:v>63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one"/>
        <c:axId val="108389120"/>
        <c:axId val="108390656"/>
        <c:axId val="0"/>
      </c:bar3DChart>
      <c:catAx>
        <c:axId val="1083891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08390656"/>
        <c:crosses val="autoZero"/>
        <c:auto val="1"/>
        <c:lblAlgn val="ctr"/>
        <c:lblOffset val="100"/>
      </c:catAx>
      <c:valAx>
        <c:axId val="108390656"/>
        <c:scaling>
          <c:orientation val="minMax"/>
        </c:scaling>
        <c:axPos val="l"/>
        <c:majorGridlines/>
        <c:numFmt formatCode="General" sourceLinked="1"/>
        <c:tickLblPos val="nextTo"/>
        <c:crossAx val="108389120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Plan1!$A$305:$A$339</c:f>
              <c:strCache>
                <c:ptCount val="35"/>
                <c:pt idx="0">
                  <c:v>Universidade de Cabo Verde (7)</c:v>
                </c:pt>
                <c:pt idx="1">
                  <c:v>Instituto Politécnico de Bragança (6)</c:v>
                </c:pt>
                <c:pt idx="2">
                  <c:v>Marshall University (4)</c:v>
                </c:pt>
                <c:pt idx="3">
                  <c:v>University of Northern Iowa (4)</c:v>
                </c:pt>
                <c:pt idx="4">
                  <c:v>Universidad de Córdoba</c:v>
                </c:pt>
                <c:pt idx="5">
                  <c:v>Instituto Superior Politécnico de Maricá (2)</c:v>
                </c:pt>
                <c:pt idx="6">
                  <c:v>Universidad Nacional del Litora (2)l</c:v>
                </c:pt>
                <c:pt idx="7">
                  <c:v>University of Massachusetts Amherst</c:v>
                </c:pt>
                <c:pt idx="8">
                  <c:v>Universidad Nacional de Córdoba (2)</c:v>
                </c:pt>
                <c:pt idx="9">
                  <c:v>California State University (2)</c:v>
                </c:pt>
                <c:pt idx="10">
                  <c:v>Morehead State University (2)</c:v>
                </c:pt>
                <c:pt idx="11">
                  <c:v>Katholische Universität Eichstatt-Ingolstadt (2)</c:v>
                </c:pt>
                <c:pt idx="12">
                  <c:v>Instituto Politécnico Nacional (2)</c:v>
                </c:pt>
                <c:pt idx="13">
                  <c:v>Universidade de Coimbra (1)</c:v>
                </c:pt>
                <c:pt idx="14">
                  <c:v>Hawkeye Community College (1)</c:v>
                </c:pt>
                <c:pt idx="15">
                  <c:v>Universidad Nacional del Nordeste (1)</c:v>
                </c:pt>
                <c:pt idx="16">
                  <c:v>Universidad de Caldas (1)</c:v>
                </c:pt>
                <c:pt idx="17">
                  <c:v>Universidade de Malmö (1)</c:v>
                </c:pt>
                <c:pt idx="18">
                  <c:v>Universidad Nacional de San Luis (1)</c:v>
                </c:pt>
                <c:pt idx="19">
                  <c:v>Universidad Nacional de Cuyo (1)</c:v>
                </c:pt>
                <c:pt idx="20">
                  <c:v>Universidade José Eduardo dos Santos (1)</c:v>
                </c:pt>
                <c:pt idx="21">
                  <c:v>Faculdade de Medicina de Malanje (1)</c:v>
                </c:pt>
                <c:pt idx="22">
                  <c:v>Instituto Superior de Ciências da Educação (1)</c:v>
                </c:pt>
                <c:pt idx="23">
                  <c:v>Faculdade de Ciências Agrárias do Huambo (1)</c:v>
                </c:pt>
                <c:pt idx="24">
                  <c:v>Universidade Oscar Ribas (1)</c:v>
                </c:pt>
                <c:pt idx="25">
                  <c:v>Insituto Politécnico Superior-Apolitécnica (1)</c:v>
                </c:pt>
                <c:pt idx="26">
                  <c:v>Universidad Nacional de Tucumán (1)</c:v>
                </c:pt>
                <c:pt idx="27">
                  <c:v>Universidad Nacional de Rosario (1)</c:v>
                </c:pt>
                <c:pt idx="28">
                  <c:v>Universidad Autónoma Gabriel René Moreno (1)</c:v>
                </c:pt>
                <c:pt idx="29">
                  <c:v>Universidad de Concepción (1)</c:v>
                </c:pt>
                <c:pt idx="30">
                  <c:v>Corporación Universitaria de Santa Rosa de Cabal (1)</c:v>
                </c:pt>
                <c:pt idx="31">
                  <c:v>Universitat Autònoma de Barcelona (1)</c:v>
                </c:pt>
                <c:pt idx="32">
                  <c:v>Universidad del Caribe (1)</c:v>
                </c:pt>
                <c:pt idx="33">
                  <c:v>University of Montevallo (1)</c:v>
                </c:pt>
                <c:pt idx="34">
                  <c:v>Universität Passau (1)</c:v>
                </c:pt>
              </c:strCache>
            </c:strRef>
          </c:cat>
          <c:val>
            <c:numRef>
              <c:f>Plan1!$B$305:$B$339</c:f>
              <c:numCache>
                <c:formatCode>General</c:formatCode>
                <c:ptCount val="35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945578231292499"/>
          <c:y val="5.3039839800244716E-2"/>
          <c:w val="0.36054421768707512"/>
          <c:h val="0.89392032039951019"/>
        </c:manualLayout>
      </c:layout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pieChart>
        <c:varyColors val="1"/>
        <c:ser>
          <c:idx val="0"/>
          <c:order val="0"/>
          <c:explosion val="25"/>
          <c:cat>
            <c:strRef>
              <c:f>Plan1!$A$430:$A$442</c:f>
              <c:strCache>
                <c:ptCount val="13"/>
                <c:pt idx="0">
                  <c:v>França (5)</c:v>
                </c:pt>
                <c:pt idx="1">
                  <c:v>Portugal (4)</c:v>
                </c:pt>
                <c:pt idx="2">
                  <c:v>Itália (3)</c:v>
                </c:pt>
                <c:pt idx="3">
                  <c:v>Brasil (Santander) (3)</c:v>
                </c:pt>
                <c:pt idx="4">
                  <c:v>México (2)</c:v>
                </c:pt>
                <c:pt idx="5">
                  <c:v>Alemanha (2)</c:v>
                </c:pt>
                <c:pt idx="6">
                  <c:v>Espanha (2)</c:v>
                </c:pt>
                <c:pt idx="7">
                  <c:v>Bélgica (1)</c:v>
                </c:pt>
                <c:pt idx="8">
                  <c:v>Canadá (1)</c:v>
                </c:pt>
                <c:pt idx="9">
                  <c:v>Colômbia (1)</c:v>
                </c:pt>
                <c:pt idx="10">
                  <c:v>Estados Unidos (1)</c:v>
                </c:pt>
                <c:pt idx="11">
                  <c:v>Holanda (1)</c:v>
                </c:pt>
                <c:pt idx="12">
                  <c:v>Suécia (1)</c:v>
                </c:pt>
              </c:strCache>
            </c:strRef>
          </c:cat>
          <c:val>
            <c:numRef>
              <c:f>Plan1!$B$430:$B$442</c:f>
              <c:numCache>
                <c:formatCode>General</c:formatCode>
                <c:ptCount val="13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doughnutChart>
        <c:varyColors val="1"/>
        <c:ser>
          <c:idx val="0"/>
          <c:order val="0"/>
          <c:cat>
            <c:strRef>
              <c:f>Plan1!$A$730:$A$751</c:f>
              <c:strCache>
                <c:ptCount val="22"/>
                <c:pt idx="0">
                  <c:v>EUA (95)</c:v>
                </c:pt>
                <c:pt idx="1">
                  <c:v>Portugal (84)</c:v>
                </c:pt>
                <c:pt idx="2">
                  <c:v>Canadá (48)</c:v>
                </c:pt>
                <c:pt idx="3">
                  <c:v>França (31)</c:v>
                </c:pt>
                <c:pt idx="4">
                  <c:v>Espanha (3)</c:v>
                </c:pt>
                <c:pt idx="5">
                  <c:v>Alemanha (26)</c:v>
                </c:pt>
                <c:pt idx="6">
                  <c:v>Austrália (17)</c:v>
                </c:pt>
                <c:pt idx="7">
                  <c:v>Inglaterra (16)</c:v>
                </c:pt>
                <c:pt idx="8">
                  <c:v>Itália (14)</c:v>
                </c:pt>
                <c:pt idx="9">
                  <c:v>Reino Unido (10)</c:v>
                </c:pt>
                <c:pt idx="10">
                  <c:v>Argentina (9)</c:v>
                </c:pt>
                <c:pt idx="11">
                  <c:v>Holanda (6)</c:v>
                </c:pt>
                <c:pt idx="12">
                  <c:v>Irlanda (3)</c:v>
                </c:pt>
                <c:pt idx="13">
                  <c:v>Escócia (2)</c:v>
                </c:pt>
                <c:pt idx="14">
                  <c:v>Hungria (2)</c:v>
                </c:pt>
                <c:pt idx="15">
                  <c:v>Bélgica (1)</c:v>
                </c:pt>
                <c:pt idx="16">
                  <c:v>Finlândia (1)</c:v>
                </c:pt>
                <c:pt idx="17">
                  <c:v>País de Gales (1)</c:v>
                </c:pt>
                <c:pt idx="18">
                  <c:v>Irlanda do Norte (1)</c:v>
                </c:pt>
                <c:pt idx="19">
                  <c:v>Suécia (1)</c:v>
                </c:pt>
                <c:pt idx="20">
                  <c:v>México (1)</c:v>
                </c:pt>
                <c:pt idx="21">
                  <c:v>Coréia do Sul (1)</c:v>
                </c:pt>
              </c:strCache>
            </c:strRef>
          </c:cat>
          <c:val>
            <c:numRef>
              <c:f>Plan1!$B$730:$B$751</c:f>
              <c:numCache>
                <c:formatCode>General</c:formatCode>
                <c:ptCount val="22"/>
                <c:pt idx="0">
                  <c:v>95</c:v>
                </c:pt>
                <c:pt idx="1">
                  <c:v>84</c:v>
                </c:pt>
                <c:pt idx="2">
                  <c:v>48</c:v>
                </c:pt>
                <c:pt idx="3">
                  <c:v>31</c:v>
                </c:pt>
                <c:pt idx="4">
                  <c:v>30</c:v>
                </c:pt>
                <c:pt idx="5">
                  <c:v>26</c:v>
                </c:pt>
                <c:pt idx="6">
                  <c:v>17</c:v>
                </c:pt>
                <c:pt idx="7">
                  <c:v>16</c:v>
                </c:pt>
                <c:pt idx="8">
                  <c:v>14</c:v>
                </c:pt>
                <c:pt idx="9">
                  <c:v>10</c:v>
                </c:pt>
                <c:pt idx="10">
                  <c:v>9</c:v>
                </c:pt>
                <c:pt idx="11">
                  <c:v>6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Plan1!$A$796:$A$800</c:f>
              <c:strCache>
                <c:ptCount val="5"/>
                <c:pt idx="0">
                  <c:v>Europa (202)</c:v>
                </c:pt>
                <c:pt idx="1">
                  <c:v>América (153)</c:v>
                </c:pt>
                <c:pt idx="2">
                  <c:v>Oceania (17)</c:v>
                </c:pt>
                <c:pt idx="3">
                  <c:v>Ásia (1)</c:v>
                </c:pt>
                <c:pt idx="4">
                  <c:v>África (0)</c:v>
                </c:pt>
              </c:strCache>
            </c:strRef>
          </c:cat>
          <c:val>
            <c:numRef>
              <c:f>Plan1!$B$796:$B$800</c:f>
              <c:numCache>
                <c:formatCode>General</c:formatCode>
                <c:ptCount val="5"/>
                <c:pt idx="0">
                  <c:v>202</c:v>
                </c:pt>
                <c:pt idx="1">
                  <c:v>153</c:v>
                </c:pt>
                <c:pt idx="2">
                  <c:v>17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hape val="box"/>
        <c:axId val="37687680"/>
        <c:axId val="37689216"/>
        <c:axId val="0"/>
      </c:bar3DChart>
      <c:catAx>
        <c:axId val="3768768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37689216"/>
        <c:crosses val="autoZero"/>
        <c:auto val="1"/>
        <c:lblAlgn val="ctr"/>
        <c:lblOffset val="100"/>
      </c:catAx>
      <c:valAx>
        <c:axId val="37689216"/>
        <c:scaling>
          <c:orientation val="minMax"/>
        </c:scaling>
        <c:axPos val="l"/>
        <c:majorGridlines/>
        <c:numFmt formatCode="General" sourceLinked="1"/>
        <c:tickLblPos val="nextTo"/>
        <c:crossAx val="3768768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doughnutChart>
        <c:varyColors val="1"/>
        <c:ser>
          <c:idx val="0"/>
          <c:order val="0"/>
          <c:explosion val="25"/>
          <c:cat>
            <c:strRef>
              <c:f>Plan1!$A$844:$A$856</c:f>
              <c:strCache>
                <c:ptCount val="13"/>
                <c:pt idx="0">
                  <c:v>Ciência sem Fronteiras (278)</c:v>
                </c:pt>
                <c:pt idx="1">
                  <c:v>PLI (40)</c:v>
                </c:pt>
                <c:pt idx="2">
                  <c:v>Edital Geral (21)</c:v>
                </c:pt>
                <c:pt idx="3">
                  <c:v>Capes-Fipse (14)</c:v>
                </c:pt>
                <c:pt idx="4">
                  <c:v>Capes-Brafagri (11)</c:v>
                </c:pt>
                <c:pt idx="5">
                  <c:v>Santander (10)</c:v>
                </c:pt>
                <c:pt idx="6">
                  <c:v>Capes-Unibral (6)</c:v>
                </c:pt>
                <c:pt idx="7">
                  <c:v>Programa de Parcerias de Grado Mercosur - CAPES (5) </c:v>
                </c:pt>
                <c:pt idx="8">
                  <c:v>Capes-Brafitec (5)</c:v>
                </c:pt>
                <c:pt idx="9">
                  <c:v>Escala Estudantil AUGM (4)</c:v>
                </c:pt>
                <c:pt idx="10">
                  <c:v>Perugia (3) </c:v>
                </c:pt>
                <c:pt idx="11">
                  <c:v>IPB (2)</c:v>
                </c:pt>
                <c:pt idx="12">
                  <c:v>Bramex (1)</c:v>
                </c:pt>
              </c:strCache>
            </c:strRef>
          </c:cat>
          <c:val>
            <c:numRef>
              <c:f>Plan1!$B$844:$B$856</c:f>
              <c:numCache>
                <c:formatCode>General</c:formatCode>
                <c:ptCount val="13"/>
                <c:pt idx="0">
                  <c:v>278</c:v>
                </c:pt>
                <c:pt idx="1">
                  <c:v>40</c:v>
                </c:pt>
                <c:pt idx="2">
                  <c:v>21</c:v>
                </c:pt>
                <c:pt idx="3">
                  <c:v>14</c:v>
                </c:pt>
                <c:pt idx="4">
                  <c:v>11</c:v>
                </c:pt>
                <c:pt idx="5">
                  <c:v>10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barChart>
        <c:barDir val="bar"/>
        <c:grouping val="clustered"/>
        <c:ser>
          <c:idx val="0"/>
          <c:order val="0"/>
          <c:cat>
            <c:strRef>
              <c:f>Plan1!$A$888:$A$937</c:f>
              <c:strCache>
                <c:ptCount val="50"/>
                <c:pt idx="0">
                  <c:v>Agronomia (27)</c:v>
                </c:pt>
                <c:pt idx="1">
                  <c:v>Engenharia Civil (22)</c:v>
                </c:pt>
                <c:pt idx="2">
                  <c:v>Ciências Biológicas (18)</c:v>
                </c:pt>
                <c:pt idx="3">
                  <c:v>Farmácia (18)</c:v>
                </c:pt>
                <c:pt idx="4">
                  <c:v>Educação Física (17)</c:v>
                </c:pt>
                <c:pt idx="5">
                  <c:v>Engenharia Mecânica (17)</c:v>
                </c:pt>
                <c:pt idx="6">
                  <c:v>Medicina Veterinária (17)</c:v>
                </c:pt>
                <c:pt idx="7">
                  <c:v>Engenharia Elétrica (16)</c:v>
                </c:pt>
                <c:pt idx="8">
                  <c:v>Engenharia química (15)</c:v>
                </c:pt>
                <c:pt idx="9">
                  <c:v>Ciências da Computação (15)</c:v>
                </c:pt>
                <c:pt idx="10">
                  <c:v>Arquitetura e Urbanismo (14)</c:v>
                </c:pt>
                <c:pt idx="11">
                  <c:v>Letras (13)</c:v>
                </c:pt>
                <c:pt idx="12">
                  <c:v>Engenharia de Produção (12)</c:v>
                </c:pt>
                <c:pt idx="13">
                  <c:v>Comunicação Social/Publicidade e Propaganda (11)</c:v>
                </c:pt>
                <c:pt idx="14">
                  <c:v>Química (11)</c:v>
                </c:pt>
                <c:pt idx="15">
                  <c:v>Engenharia de Alimentos (10)</c:v>
                </c:pt>
                <c:pt idx="16">
                  <c:v>Matemática (10)</c:v>
                </c:pt>
                <c:pt idx="17">
                  <c:v>Engenharia da Computação (10)</c:v>
                </c:pt>
                <c:pt idx="18">
                  <c:v>Medicina (10)</c:v>
                </c:pt>
                <c:pt idx="19">
                  <c:v>Engenharia Florestal (9)</c:v>
                </c:pt>
                <c:pt idx="20">
                  <c:v>Engenharia Ambiental e Sanitária (9)</c:v>
                </c:pt>
                <c:pt idx="21">
                  <c:v>Física (9)</c:v>
                </c:pt>
                <c:pt idx="22">
                  <c:v>Música (8)</c:v>
                </c:pt>
                <c:pt idx="23">
                  <c:v>Biotecnologia (7)</c:v>
                </c:pt>
                <c:pt idx="24">
                  <c:v>Direito (7)</c:v>
                </c:pt>
                <c:pt idx="25">
                  <c:v>Química Industrial (6)</c:v>
                </c:pt>
                <c:pt idx="26">
                  <c:v>Geografia (5)</c:v>
                </c:pt>
                <c:pt idx="27">
                  <c:v>História (5)</c:v>
                </c:pt>
                <c:pt idx="28">
                  <c:v>Ecologia e Análise Ambiental (5)</c:v>
                </c:pt>
                <c:pt idx="29">
                  <c:v>Nutrição (5)</c:v>
                </c:pt>
                <c:pt idx="30">
                  <c:v>Engenharia de Minas (4)</c:v>
                </c:pt>
                <c:pt idx="31">
                  <c:v>Artes visuais/design de interiores (4)</c:v>
                </c:pt>
                <c:pt idx="32">
                  <c:v>Comunicação Social/Jornalismo (4)</c:v>
                </c:pt>
                <c:pt idx="33">
                  <c:v>Odontologia (3)</c:v>
                </c:pt>
                <c:pt idx="34">
                  <c:v>Sistemas de Informação (3)</c:v>
                </c:pt>
                <c:pt idx="35">
                  <c:v>Ciências Ambientais (3)</c:v>
                </c:pt>
                <c:pt idx="36">
                  <c:v>Administração (3)</c:v>
                </c:pt>
                <c:pt idx="37">
                  <c:v>Enfermagem (2)</c:v>
                </c:pt>
                <c:pt idx="38">
                  <c:v>Biomedicina (2)</c:v>
                </c:pt>
                <c:pt idx="39">
                  <c:v>Matemática Industrial (2)</c:v>
                </c:pt>
                <c:pt idx="40">
                  <c:v>Artes visuais/design gráfico (2)</c:v>
                </c:pt>
                <c:pt idx="41">
                  <c:v>Ciências Sociais (2)</c:v>
                </c:pt>
                <c:pt idx="42">
                  <c:v>Comunicação Social/Relações Públicas (1)</c:v>
                </c:pt>
                <c:pt idx="43">
                  <c:v>Estatística (1)</c:v>
                </c:pt>
                <c:pt idx="44">
                  <c:v>Ciências Econômicas (1)</c:v>
                </c:pt>
                <c:pt idx="45">
                  <c:v>Filosofia (1)</c:v>
                </c:pt>
                <c:pt idx="46">
                  <c:v>Design de Moda (1)</c:v>
                </c:pt>
                <c:pt idx="47">
                  <c:v>Zootecnia (1)</c:v>
                </c:pt>
                <c:pt idx="48">
                  <c:v>Musicoterapia (1)</c:v>
                </c:pt>
                <c:pt idx="49">
                  <c:v>Artes visuais/artes plásticas (1)</c:v>
                </c:pt>
              </c:strCache>
            </c:strRef>
          </c:cat>
          <c:val>
            <c:numRef>
              <c:f>Plan1!$B$888:$B$937</c:f>
              <c:numCache>
                <c:formatCode>General</c:formatCode>
                <c:ptCount val="50"/>
                <c:pt idx="0">
                  <c:v>27</c:v>
                </c:pt>
                <c:pt idx="1">
                  <c:v>22</c:v>
                </c:pt>
                <c:pt idx="2">
                  <c:v>18</c:v>
                </c:pt>
                <c:pt idx="3">
                  <c:v>18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15</c:v>
                </c:pt>
                <c:pt idx="9">
                  <c:v>15</c:v>
                </c:pt>
                <c:pt idx="10">
                  <c:v>14</c:v>
                </c:pt>
                <c:pt idx="11">
                  <c:v>13</c:v>
                </c:pt>
                <c:pt idx="12">
                  <c:v>12</c:v>
                </c:pt>
                <c:pt idx="13">
                  <c:v>11</c:v>
                </c:pt>
                <c:pt idx="14">
                  <c:v>11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9</c:v>
                </c:pt>
                <c:pt idx="20">
                  <c:v>9</c:v>
                </c:pt>
                <c:pt idx="21">
                  <c:v>9</c:v>
                </c:pt>
                <c:pt idx="22">
                  <c:v>8</c:v>
                </c:pt>
                <c:pt idx="23">
                  <c:v>7</c:v>
                </c:pt>
                <c:pt idx="24">
                  <c:v>7</c:v>
                </c:pt>
                <c:pt idx="25">
                  <c:v>6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</c:numCache>
            </c:numRef>
          </c:val>
        </c:ser>
        <c:axId val="108272256"/>
        <c:axId val="108278144"/>
      </c:barChart>
      <c:catAx>
        <c:axId val="108272256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08278144"/>
        <c:crosses val="autoZero"/>
        <c:auto val="1"/>
        <c:lblAlgn val="ctr"/>
        <c:lblOffset val="100"/>
      </c:catAx>
      <c:valAx>
        <c:axId val="108278144"/>
        <c:scaling>
          <c:orientation val="minMax"/>
        </c:scaling>
        <c:axPos val="b"/>
        <c:majorGridlines/>
        <c:numFmt formatCode="General" sourceLinked="1"/>
        <c:tickLblPos val="nextTo"/>
        <c:crossAx val="10827225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Plan1!$A$961:$A$964</c:f>
              <c:strCache>
                <c:ptCount val="4"/>
                <c:pt idx="0">
                  <c:v>Goiânia (342)</c:v>
                </c:pt>
                <c:pt idx="1">
                  <c:v>Catalão (34) </c:v>
                </c:pt>
                <c:pt idx="2">
                  <c:v>Jataí (24) </c:v>
                </c:pt>
                <c:pt idx="3">
                  <c:v>Goiás (0)</c:v>
                </c:pt>
              </c:strCache>
            </c:strRef>
          </c:cat>
          <c:val>
            <c:numRef>
              <c:f>Plan1!$B$961:$B$964</c:f>
              <c:numCache>
                <c:formatCode>General</c:formatCode>
                <c:ptCount val="4"/>
                <c:pt idx="0">
                  <c:v>342</c:v>
                </c:pt>
                <c:pt idx="1">
                  <c:v>34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  <c:shape val="cone"/>
        <c:axId val="108298240"/>
        <c:axId val="108299776"/>
        <c:axId val="0"/>
      </c:bar3DChart>
      <c:catAx>
        <c:axId val="10829824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08299776"/>
        <c:crosses val="autoZero"/>
        <c:auto val="1"/>
        <c:lblAlgn val="ctr"/>
        <c:lblOffset val="100"/>
      </c:catAx>
      <c:valAx>
        <c:axId val="108299776"/>
        <c:scaling>
          <c:orientation val="minMax"/>
        </c:scaling>
        <c:axPos val="l"/>
        <c:majorGridlines/>
        <c:numFmt formatCode="General" sourceLinked="1"/>
        <c:tickLblPos val="nextTo"/>
        <c:crossAx val="10829824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Plan1!$A$467:$A$679</c:f>
              <c:strCache>
                <c:ptCount val="213"/>
                <c:pt idx="0">
                  <c:v>Universidade de Coimbra</c:v>
                </c:pt>
                <c:pt idx="1">
                  <c:v>Universidade Técnica de Lisboa</c:v>
                </c:pt>
                <c:pt idx="2">
                  <c:v>Instituto Politécnico de Bragança</c:v>
                </c:pt>
                <c:pt idx="3">
                  <c:v>Universidade da Beira Interior</c:v>
                </c:pt>
                <c:pt idx="4">
                  <c:v>State University of New York</c:v>
                </c:pt>
                <c:pt idx="5">
                  <c:v>University of Toronto</c:v>
                </c:pt>
                <c:pt idx="6">
                  <c:v>Katholische Universität Eichstätt-Ingolstadt</c:v>
                </c:pt>
                <c:pt idx="7">
                  <c:v>Morehead State University</c:v>
                </c:pt>
                <c:pt idx="8">
                  <c:v>University of Manitoba</c:v>
                </c:pt>
                <c:pt idx="9">
                  <c:v>Universidade Nacional de Córdoba </c:v>
                </c:pt>
                <c:pt idx="10">
                  <c:v>Kirkwood Community College</c:v>
                </c:pt>
                <c:pt idx="11">
                  <c:v>Cornell University</c:v>
                </c:pt>
                <c:pt idx="12">
                  <c:v>University of Florida</c:v>
                </c:pt>
                <c:pt idx="13">
                  <c:v>Arizona State University</c:v>
                </c:pt>
                <c:pt idx="14">
                  <c:v>York University</c:v>
                </c:pt>
                <c:pt idx="15">
                  <c:v>Universitá per Estranieri di Perugia</c:v>
                </c:pt>
                <c:pt idx="16">
                  <c:v>Universitá Degli Studi di Firenze</c:v>
                </c:pt>
                <c:pt idx="18">
                  <c:v>University of Montana</c:v>
                </c:pt>
                <c:pt idx="19">
                  <c:v>Technische Universität München</c:v>
                </c:pt>
                <c:pt idx="20">
                  <c:v>Marshall University</c:v>
                </c:pt>
                <c:pt idx="21">
                  <c:v>Universidade do Porto</c:v>
                </c:pt>
                <c:pt idx="22">
                  <c:v>Universidade de Pisa</c:v>
                </c:pt>
                <c:pt idx="23">
                  <c:v>Universidad de Lleida</c:v>
                </c:pt>
                <c:pt idx="24">
                  <c:v>Newcastle University</c:v>
                </c:pt>
                <c:pt idx="25">
                  <c:v>University of Newcastle</c:v>
                </c:pt>
                <c:pt idx="26">
                  <c:v>Hochschule Aalen</c:v>
                </c:pt>
                <c:pt idx="27">
                  <c:v>Universidad de Jaén</c:v>
                </c:pt>
                <c:pt idx="28">
                  <c:v>Brock University</c:v>
                </c:pt>
                <c:pt idx="29">
                  <c:v>University of Alberta</c:v>
                </c:pt>
                <c:pt idx="30">
                  <c:v>Oniris- École Nationale Vétérinaire, Agroalimentaire et de L'Alimentation Nantes-Atlantique</c:v>
                </c:pt>
                <c:pt idx="31">
                  <c:v>[E] Did Deutsch-Institut, Frankfurt</c:v>
                </c:pt>
                <c:pt idx="32">
                  <c:v>Griffith University</c:v>
                </c:pt>
                <c:pt idx="33">
                  <c:v>Université de Caen Basse-Normandie</c:v>
                </c:pt>
                <c:pt idx="34">
                  <c:v>Université D’Avignon</c:v>
                </c:pt>
                <c:pt idx="35">
                  <c:v>Kingston University</c:v>
                </c:pt>
                <c:pt idx="36">
                  <c:v>[E] Institut de Français-Université D'Orleans</c:v>
                </c:pt>
                <c:pt idx="37">
                  <c:v>Universidade Católica de Murcia</c:v>
                </c:pt>
                <c:pt idx="38">
                  <c:v>Radboud University Nijmegin</c:v>
                </c:pt>
                <c:pt idx="39">
                  <c:v>Laurentian University of Sudbury</c:v>
                </c:pt>
                <c:pt idx="40">
                  <c:v>Universidad Nacional Del Litoral </c:v>
                </c:pt>
                <c:pt idx="41">
                  <c:v>Universidade de Évora</c:v>
                </c:pt>
                <c:pt idx="42">
                  <c:v>University of Ulster</c:v>
                </c:pt>
                <c:pt idx="43">
                  <c:v>Universidade de Alcalá</c:v>
                </c:pt>
                <c:pt idx="44">
                  <c:v>Universidade do Minho</c:v>
                </c:pt>
                <c:pt idx="45">
                  <c:v>Universidad de Valladolid</c:v>
                </c:pt>
                <c:pt idx="46">
                  <c:v>Portland State University</c:v>
                </c:pt>
                <c:pt idx="47">
                  <c:v>Universitá di Bologna</c:v>
                </c:pt>
                <c:pt idx="48">
                  <c:v>Universidade Nova de Lisboa</c:v>
                </c:pt>
                <c:pt idx="49">
                  <c:v>Dillard University</c:v>
                </c:pt>
                <c:pt idx="50">
                  <c:v>St. John’s University</c:v>
                </c:pt>
                <c:pt idx="51">
                  <c:v>University of Wisconsin – River Falls</c:v>
                </c:pt>
                <c:pt idx="52">
                  <c:v>University of Waterloo</c:v>
                </c:pt>
                <c:pt idx="53">
                  <c:v>Westfalische Wilhelms - Universität Münster</c:v>
                </c:pt>
                <c:pt idx="54">
                  <c:v>West Virginia University</c:v>
                </c:pt>
                <c:pt idx="55">
                  <c:v>INSA Lion</c:v>
                </c:pt>
                <c:pt idx="56">
                  <c:v>Universidade Miguel Hernandez</c:v>
                </c:pt>
                <c:pt idx="57">
                  <c:v>Universidad Rovira I Virgili</c:v>
                </c:pt>
                <c:pt idx="58">
                  <c:v>University of Ottawa</c:v>
                </c:pt>
                <c:pt idx="59">
                  <c:v>Algoma University</c:v>
                </c:pt>
                <c:pt idx="60">
                  <c:v>University of Adelaide</c:v>
                </c:pt>
                <c:pt idx="61">
                  <c:v>Universidade de Aveiro</c:v>
                </c:pt>
                <c:pt idx="62">
                  <c:v>Saint Mary’s University</c:v>
                </c:pt>
                <c:pt idx="63">
                  <c:v>Missouri State University</c:v>
                </c:pt>
                <c:pt idx="64">
                  <c:v>INSA Strasbourg</c:v>
                </c:pt>
                <c:pt idx="65">
                  <c:v>Rose-Hulman Institute of Technology</c:v>
                </c:pt>
                <c:pt idx="66">
                  <c:v>AgroParis Tech</c:v>
                </c:pt>
                <c:pt idx="67">
                  <c:v>Montfort University</c:v>
                </c:pt>
                <c:pt idx="68">
                  <c:v>Ruhr Universität Bochum</c:v>
                </c:pt>
                <c:pt idx="69">
                  <c:v>University of Guelph</c:v>
                </c:pt>
                <c:pt idx="70">
                  <c:v>Budapest University of Technology and Economics</c:v>
                </c:pt>
                <c:pt idx="71">
                  <c:v>University of Rhode Island</c:v>
                </c:pt>
                <c:pt idx="72">
                  <c:v>Loyola University Chicago</c:v>
                </c:pt>
                <c:pt idx="73">
                  <c:v>The University of Sydney</c:v>
                </c:pt>
                <c:pt idx="74">
                  <c:v>Temple University</c:v>
                </c:pt>
                <c:pt idx="75">
                  <c:v>Fontbonne University</c:v>
                </c:pt>
                <c:pt idx="76">
                  <c:v>The University of Arizona</c:v>
                </c:pt>
                <c:pt idx="77">
                  <c:v>Monash University</c:v>
                </c:pt>
                <c:pt idx="78">
                  <c:v>Durham College</c:v>
                </c:pt>
                <c:pt idx="79">
                  <c:v>University of Dundee</c:v>
                </c:pt>
                <c:pt idx="80">
                  <c:v>University of Bath</c:v>
                </c:pt>
                <c:pt idx="81">
                  <c:v>Universidade de Algarve</c:v>
                </c:pt>
                <c:pt idx="82">
                  <c:v>Western Michigan University</c:v>
                </c:pt>
                <c:pt idx="83">
                  <c:v>The University of Western Austrália</c:v>
                </c:pt>
                <c:pt idx="84">
                  <c:v>Universidade de Valência</c:v>
                </c:pt>
                <c:pt idx="85">
                  <c:v>University of Regina</c:v>
                </c:pt>
                <c:pt idx="86">
                  <c:v>Universidade de Vigo</c:v>
                </c:pt>
                <c:pt idx="87">
                  <c:v>Site de La Chantrerie </c:v>
                </c:pt>
                <c:pt idx="88">
                  <c:v>Universidade Católica do Porto</c:v>
                </c:pt>
                <c:pt idx="89">
                  <c:v>University of North Florida</c:v>
                </c:pt>
                <c:pt idx="90">
                  <c:v>Hochschule Fur Forstwirtschaft</c:v>
                </c:pt>
                <c:pt idx="91">
                  <c:v>Trinity Western University</c:v>
                </c:pt>
                <c:pt idx="92">
                  <c:v>University of West England</c:v>
                </c:pt>
                <c:pt idx="93">
                  <c:v>Hochschule Offenburg</c:v>
                </c:pt>
                <c:pt idx="94">
                  <c:v>INSA Rennes</c:v>
                </c:pt>
                <c:pt idx="95">
                  <c:v>Universidad Santiago de Compostela</c:v>
                </c:pt>
                <c:pt idx="96">
                  <c:v>Catholic University of America</c:v>
                </c:pt>
                <c:pt idx="97">
                  <c:v>University of Missouri</c:v>
                </c:pt>
                <c:pt idx="98">
                  <c:v>Green State University</c:v>
                </c:pt>
                <c:pt idx="99">
                  <c:v>Thompson Rivers University</c:v>
                </c:pt>
                <c:pt idx="100">
                  <c:v>Fontys University of Applied Sciences</c:v>
                </c:pt>
                <c:pt idx="101">
                  <c:v>Universidad Autónoma de Mad</c:v>
                </c:pt>
                <c:pt idx="102">
                  <c:v>University of Northern Iowa</c:v>
                </c:pt>
                <c:pt idx="103">
                  <c:v>Media and Music of Inholland University of Applied Sciences</c:v>
                </c:pt>
                <c:pt idx="104">
                  <c:v>Université Charles-de-Gaule Lille3</c:v>
                </c:pt>
                <c:pt idx="105">
                  <c:v>Université Blaise Pascal</c:v>
                </c:pt>
                <c:pt idx="106">
                  <c:v>Université Toulouse 2, Le-Mirail</c:v>
                </c:pt>
                <c:pt idx="107">
                  <c:v>Université du Maine-Le Mans</c:v>
                </c:pt>
                <c:pt idx="108">
                  <c:v>Université Catholique de Lille</c:v>
                </c:pt>
                <c:pt idx="109">
                  <c:v>University Du Quebec A Montreal</c:v>
                </c:pt>
                <c:pt idx="110">
                  <c:v>Universidade Católica de Ávila</c:v>
                </c:pt>
                <c:pt idx="111">
                  <c:v>State University of New York, Albany</c:v>
                </c:pt>
                <c:pt idx="112">
                  <c:v>Université Bordeaux Segalen-Bordeaux II</c:v>
                </c:pt>
                <c:pt idx="113">
                  <c:v>Universidad de Alicante</c:v>
                </c:pt>
                <c:pt idx="114">
                  <c:v>Hofstra University</c:v>
                </c:pt>
                <c:pt idx="115">
                  <c:v>State University of New York, Buffalo</c:v>
                </c:pt>
                <c:pt idx="116">
                  <c:v>State University of New York, Oswego</c:v>
                </c:pt>
                <c:pt idx="117">
                  <c:v>Universidade de Alto Douro</c:v>
                </c:pt>
                <c:pt idx="118">
                  <c:v>Universidade de Léon</c:v>
                </c:pt>
                <c:pt idx="119">
                  <c:v>Université Victor Segalen – Bordeaux II</c:v>
                </c:pt>
                <c:pt idx="120">
                  <c:v>Vancouver Island University</c:v>
                </c:pt>
                <c:pt idx="121">
                  <c:v>Montana State University</c:v>
                </c:pt>
                <c:pt idx="122">
                  <c:v>Université Catholique de L'Ouest</c:v>
                </c:pt>
                <c:pt idx="123">
                  <c:v>Universite de Reims</c:v>
                </c:pt>
                <c:pt idx="124">
                  <c:v>Augustana College</c:v>
                </c:pt>
                <c:pt idx="125">
                  <c:v>University of Wyoming</c:v>
                </c:pt>
                <c:pt idx="126">
                  <c:v>University of Surrey</c:v>
                </c:pt>
                <c:pt idx="128">
                  <c:v>Missouri University of Science and Technology</c:v>
                </c:pt>
                <c:pt idx="129">
                  <c:v>University of Applied Sciences</c:v>
                </c:pt>
                <c:pt idx="130">
                  <c:v>Universidade de Oviedo</c:v>
                </c:pt>
                <c:pt idx="131">
                  <c:v>University of Windson</c:v>
                </c:pt>
                <c:pt idx="132">
                  <c:v>University of Tennessee</c:v>
                </c:pt>
                <c:pt idx="133">
                  <c:v>Universidade de Granada</c:v>
                </c:pt>
                <c:pt idx="134">
                  <c:v>Instituto Politécnico de Milano</c:v>
                </c:pt>
                <c:pt idx="135">
                  <c:v>Universitá Degli Studi di Milano</c:v>
                </c:pt>
                <c:pt idx="136">
                  <c:v>University of Calgary</c:v>
                </c:pt>
                <c:pt idx="137">
                  <c:v>Edge Hill University</c:v>
                </c:pt>
                <c:pt idx="138">
                  <c:v>Universidade Politécnica de Madrid</c:v>
                </c:pt>
                <c:pt idx="139">
                  <c:v>University of British Columbia</c:v>
                </c:pt>
                <c:pt idx="140">
                  <c:v>Universidade de Cádiz</c:v>
                </c:pt>
                <c:pt idx="141">
                  <c:v>Universidade de Sevilla</c:v>
                </c:pt>
                <c:pt idx="142">
                  <c:v>Ruprecht Karls Uniersität Heidelberg</c:v>
                </c:pt>
                <c:pt idx="143">
                  <c:v>Universidade de Lisboa</c:v>
                </c:pt>
                <c:pt idx="144">
                  <c:v>Korea University</c:v>
                </c:pt>
                <c:pt idx="145">
                  <c:v>Friedrich-Schiller Universität Jena</c:v>
                </c:pt>
                <c:pt idx="146">
                  <c:v>University of Roehampton</c:v>
                </c:pt>
                <c:pt idx="147">
                  <c:v>Nova Scotia College</c:v>
                </c:pt>
                <c:pt idx="148">
                  <c:v>Royal Institute of Technology </c:v>
                </c:pt>
                <c:pt idx="149">
                  <c:v>Royal Melbourne Institute of Technology University</c:v>
                </c:pt>
                <c:pt idx="150">
                  <c:v>Kent State University</c:v>
                </c:pt>
                <c:pt idx="151">
                  <c:v>Universidade Complutense</c:v>
                </c:pt>
                <c:pt idx="152">
                  <c:v>University of Kentucky</c:v>
                </c:pt>
                <c:pt idx="153">
                  <c:v>University of Lethbridge</c:v>
                </c:pt>
                <c:pt idx="154">
                  <c:v>University of Wisconsin – Madison</c:v>
                </c:pt>
                <c:pt idx="155">
                  <c:v>Universidad Nacional Del Nordeste </c:v>
                </c:pt>
                <c:pt idx="156">
                  <c:v>Universidad Nacional de Cuyo</c:v>
                </c:pt>
                <c:pt idx="157">
                  <c:v>Universidad del Caribe</c:v>
                </c:pt>
                <c:pt idx="158">
                  <c:v>University of Wisconsin, Eau Claire</c:v>
                </c:pt>
                <c:pt idx="159">
                  <c:v>École Superieure D'Agriculture D'Angers</c:v>
                </c:pt>
                <c:pt idx="160">
                  <c:v>ISARA - Lyon</c:v>
                </c:pt>
                <c:pt idx="161">
                  <c:v>Hawkeye Community College</c:v>
                </c:pt>
                <c:pt idx="162">
                  <c:v>[EL] S +W Speak +Write, Marburg</c:v>
                </c:pt>
                <c:pt idx="163">
                  <c:v>Institut Sup. D'Agriculture Et D'Agroalimentaire Rhône-Alpes</c:v>
                </c:pt>
                <c:pt idx="164">
                  <c:v>École D'Ingénieurs de Purpan</c:v>
                </c:pt>
                <c:pt idx="165">
                  <c:v>Macquarie University-Sidney</c:v>
                </c:pt>
                <c:pt idx="166">
                  <c:v>[E] Goethe-Institut, Schwäbisch Hall</c:v>
                </c:pt>
                <c:pt idx="167">
                  <c:v>Otto-Von-Guerick-Universität Magdeburg</c:v>
                </c:pt>
                <c:pt idx="168">
                  <c:v>University of Wollongong</c:v>
                </c:pt>
                <c:pt idx="169">
                  <c:v>Polytech Orléans</c:v>
                </c:pt>
                <c:pt idx="170">
                  <c:v>Lawrence Technological University</c:v>
                </c:pt>
                <c:pt idx="171">
                  <c:v>Athlone Institute of Technology</c:v>
                </c:pt>
                <c:pt idx="172">
                  <c:v>National University of Ireland, Galway</c:v>
                </c:pt>
                <c:pt idx="173">
                  <c:v>University College Cork</c:v>
                </c:pt>
                <c:pt idx="174">
                  <c:v>Columbia College, Columbia</c:v>
                </c:pt>
                <c:pt idx="175">
                  <c:v>Michigan State University</c:v>
                </c:pt>
                <c:pt idx="176">
                  <c:v>University of Michigan</c:v>
                </c:pt>
                <c:pt idx="177">
                  <c:v>Kansas State University</c:v>
                </c:pt>
                <c:pt idx="178">
                  <c:v>University of Arkansas</c:v>
                </c:pt>
                <c:pt idx="179">
                  <c:v>Illinois Institute of Technology</c:v>
                </c:pt>
                <c:pt idx="180">
                  <c:v>College of New Jersey</c:v>
                </c:pt>
                <c:pt idx="181">
                  <c:v>Kettering University</c:v>
                </c:pt>
                <c:pt idx="182">
                  <c:v>Bucknell University</c:v>
                </c:pt>
                <c:pt idx="183">
                  <c:v>University of Nebraska at Kearney</c:v>
                </c:pt>
                <c:pt idx="184">
                  <c:v>Mercer University</c:v>
                </c:pt>
                <c:pt idx="185">
                  <c:v>Queensland University of Technology</c:v>
                </c:pt>
                <c:pt idx="186">
                  <c:v>University of Evansville</c:v>
                </c:pt>
                <c:pt idx="187">
                  <c:v>University of Cincinnati</c:v>
                </c:pt>
                <c:pt idx="188">
                  <c:v>Howard  University</c:v>
                </c:pt>
                <c:pt idx="189">
                  <c:v>Concordia University</c:v>
                </c:pt>
                <c:pt idx="190">
                  <c:v>Katholieke Universiteit Leuven</c:v>
                </c:pt>
                <c:pt idx="191">
                  <c:v>Vrije Universiteit</c:v>
                </c:pt>
                <c:pt idx="192">
                  <c:v>Swansea University</c:v>
                </c:pt>
                <c:pt idx="193">
                  <c:v>Anglia Ruskin University</c:v>
                </c:pt>
                <c:pt idx="194">
                  <c:v>University of East Anglia</c:v>
                </c:pt>
                <c:pt idx="195">
                  <c:v>University of Lincoln</c:v>
                </c:pt>
                <c:pt idx="196">
                  <c:v>Queen Mary-University of London</c:v>
                </c:pt>
                <c:pt idx="197">
                  <c:v>Goldsmiths College</c:v>
                </c:pt>
                <c:pt idx="198">
                  <c:v>University of Portsmouth</c:v>
                </c:pt>
                <c:pt idx="199">
                  <c:v>Brunel University</c:v>
                </c:pt>
                <c:pt idx="200">
                  <c:v>Queen's University of Belfast</c:v>
                </c:pt>
                <c:pt idx="201">
                  <c:v>University of Eastern of Finland</c:v>
                </c:pt>
                <c:pt idx="202">
                  <c:v>Cégep de Sherbrooke</c:v>
                </c:pt>
                <c:pt idx="203">
                  <c:v>Goldsmiths University of London</c:v>
                </c:pt>
                <c:pt idx="204">
                  <c:v>University of New York</c:v>
                </c:pt>
                <c:pt idx="205">
                  <c:v>Universidade de Murcia</c:v>
                </c:pt>
                <c:pt idx="206">
                  <c:v>Universitá Degli Studi di Padova</c:v>
                </c:pt>
                <c:pt idx="207">
                  <c:v>University of East Londo</c:v>
                </c:pt>
                <c:pt idx="208">
                  <c:v>University of Mississipi</c:v>
                </c:pt>
                <c:pt idx="209">
                  <c:v>Algonquin College</c:v>
                </c:pt>
                <c:pt idx="210">
                  <c:v>University of Birmingham</c:v>
                </c:pt>
                <c:pt idx="211">
                  <c:v>University of Glasgow</c:v>
                </c:pt>
                <c:pt idx="212">
                  <c:v>University of North Carolina</c:v>
                </c:pt>
              </c:strCache>
            </c:strRef>
          </c:cat>
          <c:val>
            <c:numRef>
              <c:f>Plan1!$B$467:$B$679</c:f>
              <c:numCache>
                <c:formatCode>General</c:formatCode>
                <c:ptCount val="213"/>
                <c:pt idx="0">
                  <c:v>37</c:v>
                </c:pt>
                <c:pt idx="1">
                  <c:v>14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  <c:pt idx="79">
                  <c:v>2</c:v>
                </c:pt>
                <c:pt idx="80">
                  <c:v>2</c:v>
                </c:pt>
                <c:pt idx="81">
                  <c:v>2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  <c:pt idx="162">
                  <c:v>1</c:v>
                </c:pt>
                <c:pt idx="163">
                  <c:v>1</c:v>
                </c:pt>
                <c:pt idx="164">
                  <c:v>1</c:v>
                </c:pt>
                <c:pt idx="165">
                  <c:v>1</c:v>
                </c:pt>
                <c:pt idx="166">
                  <c:v>1</c:v>
                </c:pt>
                <c:pt idx="167">
                  <c:v>1</c:v>
                </c:pt>
                <c:pt idx="168">
                  <c:v>1</c:v>
                </c:pt>
                <c:pt idx="169">
                  <c:v>1</c:v>
                </c:pt>
                <c:pt idx="170">
                  <c:v>1</c:v>
                </c:pt>
                <c:pt idx="171">
                  <c:v>1</c:v>
                </c:pt>
                <c:pt idx="172">
                  <c:v>1</c:v>
                </c:pt>
                <c:pt idx="173">
                  <c:v>1</c:v>
                </c:pt>
                <c:pt idx="174">
                  <c:v>1</c:v>
                </c:pt>
                <c:pt idx="175">
                  <c:v>1</c:v>
                </c:pt>
                <c:pt idx="176">
                  <c:v>1</c:v>
                </c:pt>
                <c:pt idx="177">
                  <c:v>1</c:v>
                </c:pt>
                <c:pt idx="178">
                  <c:v>1</c:v>
                </c:pt>
                <c:pt idx="179">
                  <c:v>1</c:v>
                </c:pt>
                <c:pt idx="180">
                  <c:v>1</c:v>
                </c:pt>
                <c:pt idx="181">
                  <c:v>1</c:v>
                </c:pt>
                <c:pt idx="182">
                  <c:v>1</c:v>
                </c:pt>
                <c:pt idx="183">
                  <c:v>1</c:v>
                </c:pt>
                <c:pt idx="184">
                  <c:v>1</c:v>
                </c:pt>
                <c:pt idx="185">
                  <c:v>1</c:v>
                </c:pt>
                <c:pt idx="186">
                  <c:v>1</c:v>
                </c:pt>
                <c:pt idx="187">
                  <c:v>1</c:v>
                </c:pt>
                <c:pt idx="188">
                  <c:v>1</c:v>
                </c:pt>
                <c:pt idx="189">
                  <c:v>1</c:v>
                </c:pt>
                <c:pt idx="190">
                  <c:v>1</c:v>
                </c:pt>
                <c:pt idx="191">
                  <c:v>1</c:v>
                </c:pt>
                <c:pt idx="192">
                  <c:v>1</c:v>
                </c:pt>
                <c:pt idx="193">
                  <c:v>1</c:v>
                </c:pt>
                <c:pt idx="194">
                  <c:v>1</c:v>
                </c:pt>
                <c:pt idx="195">
                  <c:v>1</c:v>
                </c:pt>
                <c:pt idx="196">
                  <c:v>1</c:v>
                </c:pt>
                <c:pt idx="197">
                  <c:v>1</c:v>
                </c:pt>
                <c:pt idx="198">
                  <c:v>1</c:v>
                </c:pt>
                <c:pt idx="199">
                  <c:v>1</c:v>
                </c:pt>
                <c:pt idx="200">
                  <c:v>1</c:v>
                </c:pt>
                <c:pt idx="201">
                  <c:v>1</c:v>
                </c:pt>
                <c:pt idx="202">
                  <c:v>1</c:v>
                </c:pt>
                <c:pt idx="203">
                  <c:v>1</c:v>
                </c:pt>
                <c:pt idx="204">
                  <c:v>1</c:v>
                </c:pt>
                <c:pt idx="205">
                  <c:v>1</c:v>
                </c:pt>
                <c:pt idx="206">
                  <c:v>1</c:v>
                </c:pt>
                <c:pt idx="207">
                  <c:v>1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lineChart>
        <c:grouping val="stacked"/>
        <c:ser>
          <c:idx val="0"/>
          <c:order val="0"/>
          <c:marker>
            <c:symbol val="none"/>
          </c:marker>
          <c:cat>
            <c:strRef>
              <c:f>Plan1!$A$997:$A$1007</c:f>
              <c:strCache>
                <c:ptCount val="11"/>
                <c:pt idx="0">
                  <c:v>2003 (4)</c:v>
                </c:pt>
                <c:pt idx="1">
                  <c:v>2004 (10)</c:v>
                </c:pt>
                <c:pt idx="2">
                  <c:v>2005 (10)</c:v>
                </c:pt>
                <c:pt idx="3">
                  <c:v>2006 (17)</c:v>
                </c:pt>
                <c:pt idx="4">
                  <c:v>2007 (3)</c:v>
                </c:pt>
                <c:pt idx="5">
                  <c:v>2008 (32)</c:v>
                </c:pt>
                <c:pt idx="6">
                  <c:v>2009 (26)</c:v>
                </c:pt>
                <c:pt idx="7">
                  <c:v>2010 (42)</c:v>
                </c:pt>
                <c:pt idx="8">
                  <c:v>2011 (41)</c:v>
                </c:pt>
                <c:pt idx="9">
                  <c:v>2012 (57)</c:v>
                </c:pt>
                <c:pt idx="10">
                  <c:v>2013 (63)</c:v>
                </c:pt>
              </c:strCache>
            </c:strRef>
          </c:cat>
          <c:val>
            <c:numRef>
              <c:f>Plan1!$B$997:$B$1007</c:f>
              <c:numCache>
                <c:formatCode>General</c:formatCode>
                <c:ptCount val="11"/>
                <c:pt idx="0">
                  <c:v>4</c:v>
                </c:pt>
                <c:pt idx="1">
                  <c:v>10</c:v>
                </c:pt>
                <c:pt idx="2">
                  <c:v>10</c:v>
                </c:pt>
                <c:pt idx="3">
                  <c:v>17</c:v>
                </c:pt>
                <c:pt idx="4">
                  <c:v>3</c:v>
                </c:pt>
                <c:pt idx="5">
                  <c:v>32</c:v>
                </c:pt>
                <c:pt idx="6">
                  <c:v>26</c:v>
                </c:pt>
                <c:pt idx="7">
                  <c:v>42</c:v>
                </c:pt>
                <c:pt idx="8">
                  <c:v>41</c:v>
                </c:pt>
                <c:pt idx="9">
                  <c:v>57</c:v>
                </c:pt>
                <c:pt idx="10">
                  <c:v>63</c:v>
                </c:pt>
              </c:numCache>
            </c:numRef>
          </c:val>
        </c:ser>
        <c:marker val="1"/>
        <c:axId val="85506304"/>
        <c:axId val="85508096"/>
      </c:lineChart>
      <c:catAx>
        <c:axId val="85506304"/>
        <c:scaling>
          <c:orientation val="minMax"/>
        </c:scaling>
        <c:axPos val="b"/>
        <c:tickLblPos val="nextTo"/>
        <c:crossAx val="85508096"/>
        <c:crosses val="autoZero"/>
        <c:auto val="1"/>
        <c:lblAlgn val="ctr"/>
        <c:lblOffset val="100"/>
      </c:catAx>
      <c:valAx>
        <c:axId val="85508096"/>
        <c:scaling>
          <c:orientation val="minMax"/>
        </c:scaling>
        <c:axPos val="l"/>
        <c:majorGridlines/>
        <c:numFmt formatCode="General" sourceLinked="1"/>
        <c:tickLblPos val="nextTo"/>
        <c:crossAx val="85506304"/>
        <c:crosses val="autoZero"/>
        <c:crossBetween val="between"/>
      </c:valAx>
    </c:plotArea>
    <c:plotVisOnly val="1"/>
    <c:dispBlanksAs val="zero"/>
  </c:chart>
  <c:txPr>
    <a:bodyPr/>
    <a:lstStyle/>
    <a:p>
      <a:pPr>
        <a:defRPr b="1"/>
      </a:pPr>
      <a:endParaRPr lang="pt-B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18"/>
  <c:chart>
    <c:plotArea>
      <c:layout/>
      <c:doughnutChart>
        <c:varyColors val="1"/>
        <c:ser>
          <c:idx val="0"/>
          <c:order val="0"/>
          <c:cat>
            <c:strRef>
              <c:f>Plan1!$A$215:$A$227</c:f>
              <c:strCache>
                <c:ptCount val="13"/>
                <c:pt idx="0">
                  <c:v>EUA (17)</c:v>
                </c:pt>
                <c:pt idx="1">
                  <c:v>Argentina (9)</c:v>
                </c:pt>
                <c:pt idx="2">
                  <c:v>Cabo Verde (7)</c:v>
                </c:pt>
                <c:pt idx="3">
                  <c:v>Portugal (6)</c:v>
                </c:pt>
                <c:pt idx="4">
                  <c:v>Espanha (5)</c:v>
                </c:pt>
                <c:pt idx="5">
                  <c:v>Moçambique (4)</c:v>
                </c:pt>
                <c:pt idx="6">
                  <c:v>Angola  (4)</c:v>
                </c:pt>
                <c:pt idx="7">
                  <c:v>Alemanha (3)</c:v>
                </c:pt>
                <c:pt idx="8">
                  <c:v>México (3)</c:v>
                </c:pt>
                <c:pt idx="9">
                  <c:v>Colômbia (2)</c:v>
                </c:pt>
                <c:pt idx="10">
                  <c:v>Chile (1)</c:v>
                </c:pt>
                <c:pt idx="11">
                  <c:v>Suécia (1)</c:v>
                </c:pt>
                <c:pt idx="12">
                  <c:v>Bolívia (1)</c:v>
                </c:pt>
              </c:strCache>
            </c:strRef>
          </c:cat>
          <c:val>
            <c:numRef>
              <c:f>Plan1!$B$215:$B$227</c:f>
              <c:numCache>
                <c:formatCode>General</c:formatCode>
                <c:ptCount val="13"/>
                <c:pt idx="0">
                  <c:v>17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200" b="1"/>
          </a:pPr>
          <a:endParaRPr lang="pt-BR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2311</Words>
  <Characters>12484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 Bergemann </dc:creator>
  <cp:keywords/>
  <dc:description/>
  <cp:lastModifiedBy>usuario</cp:lastModifiedBy>
  <cp:revision>2</cp:revision>
  <dcterms:created xsi:type="dcterms:W3CDTF">2013-12-09T15:56:00Z</dcterms:created>
  <dcterms:modified xsi:type="dcterms:W3CDTF">2013-12-09T15:56:00Z</dcterms:modified>
</cp:coreProperties>
</file>