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3E46" w14:textId="77777777" w:rsidR="00F82766" w:rsidRDefault="006F1CA7">
      <w:pPr>
        <w:ind w:left="613"/>
        <w:rPr>
          <w:sz w:val="20"/>
        </w:rPr>
      </w:pPr>
      <w:r>
        <w:rPr>
          <w:noProof/>
          <w:sz w:val="20"/>
        </w:rPr>
        <w:drawing>
          <wp:inline distT="0" distB="0" distL="0" distR="0" wp14:anchorId="7E9017B5" wp14:editId="78EA884A">
            <wp:extent cx="5319720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720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008F" w14:textId="77777777" w:rsidR="00F82766" w:rsidRDefault="006F1CA7">
      <w:pPr>
        <w:spacing w:before="53"/>
        <w:ind w:left="3789" w:right="4362"/>
        <w:jc w:val="center"/>
        <w:rPr>
          <w:rFonts w:ascii="Cambria"/>
          <w:b/>
          <w:sz w:val="24"/>
        </w:rPr>
      </w:pPr>
      <w:r>
        <w:rPr>
          <w:rFonts w:ascii="Cambria"/>
          <w:b/>
          <w:shadow/>
          <w:sz w:val="24"/>
        </w:rPr>
        <w:t>PLANO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hadow/>
          <w:sz w:val="24"/>
        </w:rPr>
        <w:t>DE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hadow/>
          <w:sz w:val="24"/>
        </w:rPr>
        <w:t>ENSINO</w:t>
      </w:r>
    </w:p>
    <w:p w14:paraId="3F7A54D3" w14:textId="46AA4215" w:rsidR="00F82766" w:rsidRDefault="006F1CA7">
      <w:pPr>
        <w:pStyle w:val="Corpodetexto"/>
        <w:spacing w:before="211"/>
        <w:ind w:left="138" w:right="6262"/>
        <w:rPr>
          <w:b w:val="0"/>
        </w:rPr>
      </w:pPr>
      <w:r>
        <w:t xml:space="preserve">Nome da Disciplina: TÓPICOS ESPECIAIS Carga horária: </w:t>
      </w:r>
      <w:r>
        <w:rPr>
          <w:b w:val="0"/>
        </w:rPr>
        <w:t>32</w:t>
      </w:r>
      <w:r>
        <w:rPr>
          <w:b w:val="0"/>
        </w:rPr>
        <w:t xml:space="preserve"> horas</w:t>
      </w:r>
    </w:p>
    <w:p w14:paraId="53150B8D" w14:textId="77777777" w:rsidR="00F82766" w:rsidRDefault="006F1CA7">
      <w:pPr>
        <w:pStyle w:val="Corpodetexto"/>
        <w:ind w:left="138" w:right="3875"/>
        <w:rPr>
          <w:b w:val="0"/>
        </w:rPr>
      </w:pPr>
      <w:r>
        <w:t xml:space="preserve">Tópico: Biologia molecular aplicada à conservação de recursos genéticos Semestre de oferta: segundo </w:t>
      </w:r>
      <w:r>
        <w:rPr>
          <w:b w:val="0"/>
        </w:rPr>
        <w:t>semestre</w:t>
      </w:r>
    </w:p>
    <w:p w14:paraId="69690573" w14:textId="77777777" w:rsidR="00F82766" w:rsidRDefault="00F82766">
      <w:pPr>
        <w:rPr>
          <w:sz w:val="20"/>
        </w:rPr>
      </w:pPr>
    </w:p>
    <w:p w14:paraId="7D02F5D3" w14:textId="77777777" w:rsidR="00F82766" w:rsidRDefault="006F1CA7">
      <w:pPr>
        <w:spacing w:after="19"/>
        <w:ind w:left="138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OCENTES</w:t>
      </w:r>
    </w:p>
    <w:p w14:paraId="759D92D0" w14:textId="77777777" w:rsidR="00F82766" w:rsidRDefault="006F1CA7">
      <w:pPr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157978B9">
          <v:group id="_x0000_s1030" style="width:470.75pt;height:.5pt;mso-position-horizontal-relative:char;mso-position-vertical-relative:line" coordsize="9415,10">
            <v:line id="_x0000_s1031" style="position:absolute" from="0,5" to="9414,5" strokeweight=".48pt"/>
            <w10:anchorlock/>
          </v:group>
        </w:pict>
      </w:r>
    </w:p>
    <w:p w14:paraId="39163CCF" w14:textId="77777777" w:rsidR="00F82766" w:rsidRDefault="00F82766">
      <w:pPr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843"/>
        <w:gridCol w:w="2043"/>
      </w:tblGrid>
      <w:tr w:rsidR="00F82766" w14:paraId="72754560" w14:textId="77777777">
        <w:trPr>
          <w:trHeight w:val="230"/>
        </w:trPr>
        <w:tc>
          <w:tcPr>
            <w:tcW w:w="76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7A5CC" w14:textId="77777777" w:rsidR="00F82766" w:rsidRDefault="006F1CA7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da Disciplina: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395B" w14:textId="77777777" w:rsidR="00F82766" w:rsidRDefault="006F1CA7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</w:tr>
      <w:tr w:rsidR="00F82766" w14:paraId="51CFA392" w14:textId="77777777">
        <w:trPr>
          <w:trHeight w:val="230"/>
        </w:trPr>
        <w:tc>
          <w:tcPr>
            <w:tcW w:w="7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74AE" w14:textId="77777777" w:rsidR="00F82766" w:rsidRDefault="006F1CA7">
            <w:pPr>
              <w:pStyle w:val="TableParagraph"/>
              <w:spacing w:line="210" w:lineRule="exact"/>
              <w:ind w:left="777"/>
              <w:rPr>
                <w:sz w:val="20"/>
              </w:rPr>
            </w:pPr>
            <w:r>
              <w:rPr>
                <w:sz w:val="20"/>
              </w:rPr>
              <w:t>Maria Clorinda Soares Fioravanti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F3FA" w14:textId="77777777" w:rsidR="00F82766" w:rsidRDefault="006F1CA7">
            <w:pPr>
              <w:pStyle w:val="TableParagraph"/>
              <w:spacing w:line="210" w:lineRule="exact"/>
              <w:ind w:left="783" w:right="822"/>
              <w:jc w:val="center"/>
              <w:rPr>
                <w:sz w:val="20"/>
              </w:rPr>
            </w:pPr>
            <w:r>
              <w:rPr>
                <w:sz w:val="20"/>
              </w:rPr>
              <w:t>4h</w:t>
            </w:r>
          </w:p>
        </w:tc>
      </w:tr>
      <w:tr w:rsidR="00F82766" w14:paraId="36F282BF" w14:textId="77777777">
        <w:trPr>
          <w:trHeight w:val="228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BA8" w14:textId="77777777" w:rsidR="00F82766" w:rsidRDefault="006F1CA7">
            <w:pPr>
              <w:pStyle w:val="TableParagraph"/>
              <w:spacing w:line="20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Colaboradores: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E9EC" w14:textId="77777777" w:rsidR="00F82766" w:rsidRDefault="006F1CA7">
            <w:pPr>
              <w:pStyle w:val="TableParagraph"/>
              <w:spacing w:line="208" w:lineRule="exact"/>
              <w:ind w:left="443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DDEB" w14:textId="77777777" w:rsidR="00F82766" w:rsidRDefault="00F82766">
            <w:pPr>
              <w:pStyle w:val="TableParagraph"/>
              <w:rPr>
                <w:sz w:val="16"/>
              </w:rPr>
            </w:pPr>
          </w:p>
        </w:tc>
      </w:tr>
      <w:tr w:rsidR="00F82766" w14:paraId="7222D168" w14:textId="77777777">
        <w:trPr>
          <w:trHeight w:val="230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B554" w14:textId="77777777" w:rsidR="00F82766" w:rsidRDefault="006F1CA7">
            <w:pPr>
              <w:pStyle w:val="TableParagraph"/>
              <w:spacing w:line="210" w:lineRule="exact"/>
              <w:ind w:left="623"/>
              <w:rPr>
                <w:sz w:val="20"/>
              </w:rPr>
            </w:pPr>
            <w:r>
              <w:rPr>
                <w:sz w:val="20"/>
              </w:rPr>
              <w:t>Gustavo Lage Costa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F061F" w14:textId="77777777" w:rsidR="00F82766" w:rsidRDefault="006F1CA7"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UNIP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AC5B" w14:textId="77777777" w:rsidR="00F82766" w:rsidRDefault="006F1CA7">
            <w:pPr>
              <w:pStyle w:val="TableParagraph"/>
              <w:spacing w:line="210" w:lineRule="exact"/>
              <w:ind w:left="823" w:right="822"/>
              <w:jc w:val="center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</w:tr>
      <w:tr w:rsidR="00F82766" w14:paraId="49F11B0D" w14:textId="77777777">
        <w:trPr>
          <w:trHeight w:val="230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8562" w14:textId="77777777" w:rsidR="00F82766" w:rsidRDefault="006F1CA7">
            <w:pPr>
              <w:pStyle w:val="TableParagraph"/>
              <w:spacing w:line="210" w:lineRule="exact"/>
              <w:ind w:left="623"/>
              <w:rPr>
                <w:sz w:val="20"/>
              </w:rPr>
            </w:pPr>
            <w:r>
              <w:rPr>
                <w:sz w:val="20"/>
              </w:rPr>
              <w:t>Maria Ivete de Moura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1CB27" w14:textId="77777777" w:rsidR="00F82766" w:rsidRDefault="006F1CA7">
            <w:pPr>
              <w:pStyle w:val="TableParagraph"/>
              <w:spacing w:line="210" w:lineRule="exact"/>
              <w:ind w:left="443" w:right="441"/>
              <w:jc w:val="center"/>
              <w:rPr>
                <w:sz w:val="20"/>
              </w:rPr>
            </w:pPr>
            <w:r>
              <w:rPr>
                <w:sz w:val="20"/>
              </w:rPr>
              <w:t>UFG/PUC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8D1C" w14:textId="77777777" w:rsidR="00F82766" w:rsidRDefault="006F1CA7">
            <w:pPr>
              <w:pStyle w:val="TableParagraph"/>
              <w:spacing w:line="210" w:lineRule="exact"/>
              <w:ind w:left="824" w:right="822"/>
              <w:jc w:val="center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</w:tr>
      <w:tr w:rsidR="00F82766" w14:paraId="7B1ABC82" w14:textId="77777777">
        <w:trPr>
          <w:trHeight w:val="460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79E2F" w14:textId="77777777" w:rsidR="00F82766" w:rsidRDefault="006F1CA7"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Vincenzo Landi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5075" w14:textId="77777777" w:rsidR="00F82766" w:rsidRDefault="006F1CA7">
            <w:pPr>
              <w:pStyle w:val="TableParagraph"/>
              <w:spacing w:line="230" w:lineRule="atLeast"/>
              <w:ind w:left="575" w:right="290" w:hanging="264"/>
              <w:rPr>
                <w:sz w:val="20"/>
              </w:rPr>
            </w:pPr>
            <w:r>
              <w:rPr>
                <w:sz w:val="20"/>
              </w:rPr>
              <w:t>Universidad de Córdoba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7B1D" w14:textId="77777777" w:rsidR="00F82766" w:rsidRDefault="006F1CA7">
            <w:pPr>
              <w:pStyle w:val="TableParagraph"/>
              <w:ind w:left="825" w:right="822"/>
              <w:jc w:val="center"/>
              <w:rPr>
                <w:sz w:val="20"/>
              </w:rPr>
            </w:pPr>
            <w:r>
              <w:rPr>
                <w:sz w:val="20"/>
              </w:rPr>
              <w:t>20 h</w:t>
            </w:r>
          </w:p>
        </w:tc>
      </w:tr>
    </w:tbl>
    <w:p w14:paraId="4BBEB12D" w14:textId="77777777" w:rsidR="00F82766" w:rsidRDefault="00F82766">
      <w:pPr>
        <w:rPr>
          <w:b/>
          <w:sz w:val="20"/>
        </w:rPr>
      </w:pPr>
    </w:p>
    <w:p w14:paraId="6D9FDF31" w14:textId="77777777" w:rsidR="00F82766" w:rsidRDefault="006F1CA7">
      <w:pPr>
        <w:pStyle w:val="Corpodetexto"/>
        <w:spacing w:before="1" w:after="19"/>
        <w:ind w:left="138"/>
      </w:pPr>
      <w:r>
        <w:rPr>
          <w:shadow/>
        </w:rPr>
        <w:t>CONTEÚDO</w:t>
      </w:r>
      <w:r>
        <w:rPr>
          <w:spacing w:val="-11"/>
        </w:rPr>
        <w:t xml:space="preserve"> </w:t>
      </w:r>
      <w:r>
        <w:rPr>
          <w:shadow/>
        </w:rPr>
        <w:t>PROGRAMÁTICO</w:t>
      </w:r>
    </w:p>
    <w:p w14:paraId="29423E75" w14:textId="77777777" w:rsidR="00F82766" w:rsidRDefault="006F1CA7">
      <w:pPr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0DC3BD7F">
          <v:group id="_x0000_s1028" style="width:484.9pt;height:.5pt;mso-position-horizontal-relative:char;mso-position-vertical-relative:line" coordsize="9698,10">
            <v:line id="_x0000_s1029" style="position:absolute" from="0,5" to="9697,5" strokeweight=".48pt"/>
            <w10:anchorlock/>
          </v:group>
        </w:pict>
      </w:r>
    </w:p>
    <w:p w14:paraId="6D62D875" w14:textId="77777777" w:rsidR="00F82766" w:rsidRDefault="00F82766">
      <w:pPr>
        <w:spacing w:before="2"/>
        <w:rPr>
          <w:b/>
          <w:sz w:val="14"/>
        </w:rPr>
      </w:pPr>
    </w:p>
    <w:p w14:paraId="0416E510" w14:textId="77777777" w:rsidR="00F82766" w:rsidRDefault="006F1CA7">
      <w:pPr>
        <w:spacing w:before="91" w:after="36"/>
        <w:ind w:left="138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TIVIDADES TEÓRICAS E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PRÁTICAS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72"/>
        <w:gridCol w:w="1030"/>
        <w:gridCol w:w="1017"/>
        <w:gridCol w:w="3513"/>
        <w:gridCol w:w="2632"/>
      </w:tblGrid>
      <w:tr w:rsidR="00F82766" w14:paraId="725E05AC" w14:textId="77777777">
        <w:trPr>
          <w:trHeight w:val="290"/>
        </w:trPr>
        <w:tc>
          <w:tcPr>
            <w:tcW w:w="826" w:type="dxa"/>
            <w:shd w:val="clear" w:color="auto" w:fill="F3F3F3"/>
          </w:tcPr>
          <w:p w14:paraId="7D5E414B" w14:textId="77777777" w:rsidR="00F82766" w:rsidRDefault="006F1CA7">
            <w:pPr>
              <w:pStyle w:val="TableParagraph"/>
              <w:spacing w:before="37"/>
              <w:ind w:left="34" w:right="32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972" w:type="dxa"/>
            <w:shd w:val="clear" w:color="auto" w:fill="F3F3F3"/>
          </w:tcPr>
          <w:p w14:paraId="23FBDA13" w14:textId="77777777" w:rsidR="00F82766" w:rsidRDefault="006F1CA7">
            <w:pPr>
              <w:pStyle w:val="TableParagraph"/>
              <w:spacing w:before="37"/>
              <w:ind w:left="119"/>
              <w:rPr>
                <w:sz w:val="16"/>
              </w:rPr>
            </w:pPr>
            <w:r>
              <w:rPr>
                <w:sz w:val="16"/>
              </w:rPr>
              <w:t>HORÁRIO</w:t>
            </w:r>
          </w:p>
        </w:tc>
        <w:tc>
          <w:tcPr>
            <w:tcW w:w="1030" w:type="dxa"/>
            <w:shd w:val="clear" w:color="auto" w:fill="F3F3F3"/>
          </w:tcPr>
          <w:p w14:paraId="0FE9E040" w14:textId="77777777" w:rsidR="00F82766" w:rsidRDefault="006F1CA7">
            <w:pPr>
              <w:pStyle w:val="TableParagraph"/>
              <w:spacing w:before="37"/>
              <w:ind w:left="246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1017" w:type="dxa"/>
            <w:shd w:val="clear" w:color="auto" w:fill="F3F3F3"/>
          </w:tcPr>
          <w:p w14:paraId="1A4CA675" w14:textId="77777777" w:rsidR="00F82766" w:rsidRDefault="006F1CA7">
            <w:pPr>
              <w:pStyle w:val="TableParagraph"/>
              <w:ind w:left="52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TIVIDADE</w:t>
            </w:r>
          </w:p>
        </w:tc>
        <w:tc>
          <w:tcPr>
            <w:tcW w:w="3513" w:type="dxa"/>
            <w:shd w:val="clear" w:color="auto" w:fill="F3F3F3"/>
          </w:tcPr>
          <w:p w14:paraId="099A9A9E" w14:textId="77777777" w:rsidR="00F82766" w:rsidRDefault="006F1CA7">
            <w:pPr>
              <w:pStyle w:val="TableParagraph"/>
              <w:spacing w:before="37"/>
              <w:ind w:left="1365" w:right="1364"/>
              <w:jc w:val="center"/>
              <w:rPr>
                <w:sz w:val="16"/>
              </w:rPr>
            </w:pPr>
            <w:r>
              <w:rPr>
                <w:sz w:val="16"/>
              </w:rPr>
              <w:t>ASSUNTO</w:t>
            </w:r>
          </w:p>
        </w:tc>
        <w:tc>
          <w:tcPr>
            <w:tcW w:w="2632" w:type="dxa"/>
            <w:shd w:val="clear" w:color="auto" w:fill="F3F3F3"/>
          </w:tcPr>
          <w:p w14:paraId="0B2A5726" w14:textId="77777777" w:rsidR="00F82766" w:rsidRDefault="006F1CA7">
            <w:pPr>
              <w:pStyle w:val="TableParagraph"/>
              <w:spacing w:before="37"/>
              <w:ind w:left="868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</w:tr>
      <w:tr w:rsidR="00F82766" w14:paraId="16F19397" w14:textId="77777777">
        <w:trPr>
          <w:trHeight w:val="919"/>
        </w:trPr>
        <w:tc>
          <w:tcPr>
            <w:tcW w:w="826" w:type="dxa"/>
          </w:tcPr>
          <w:p w14:paraId="1C0C9285" w14:textId="77777777" w:rsidR="00F82766" w:rsidRDefault="006F1CA7">
            <w:pPr>
              <w:pStyle w:val="TableParagraph"/>
              <w:spacing w:line="228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11/09/17</w:t>
            </w:r>
          </w:p>
        </w:tc>
        <w:tc>
          <w:tcPr>
            <w:tcW w:w="972" w:type="dxa"/>
          </w:tcPr>
          <w:p w14:paraId="295DB5AF" w14:textId="77777777" w:rsidR="00F82766" w:rsidRDefault="006F1CA7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14 às 18h</w:t>
            </w:r>
          </w:p>
        </w:tc>
        <w:tc>
          <w:tcPr>
            <w:tcW w:w="1030" w:type="dxa"/>
          </w:tcPr>
          <w:p w14:paraId="0B0FCB5A" w14:textId="77777777" w:rsidR="00F82766" w:rsidRDefault="00F82766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14:paraId="77F8E7D3" w14:textId="77777777" w:rsidR="00F82766" w:rsidRDefault="006F1CA7">
            <w:pPr>
              <w:pStyle w:val="TableParagraph"/>
              <w:ind w:left="234" w:hanging="120"/>
              <w:rPr>
                <w:sz w:val="20"/>
              </w:rPr>
            </w:pPr>
            <w:r>
              <w:rPr>
                <w:w w:val="95"/>
                <w:sz w:val="20"/>
              </w:rPr>
              <w:t xml:space="preserve">Atividade </w:t>
            </w:r>
            <w:r>
              <w:rPr>
                <w:sz w:val="20"/>
              </w:rPr>
              <w:t>teórica</w:t>
            </w:r>
          </w:p>
        </w:tc>
        <w:tc>
          <w:tcPr>
            <w:tcW w:w="3513" w:type="dxa"/>
          </w:tcPr>
          <w:p w14:paraId="22E28955" w14:textId="77777777" w:rsidR="00F82766" w:rsidRDefault="006F1CA7">
            <w:pPr>
              <w:pStyle w:val="TableParagraph"/>
              <w:spacing w:line="230" w:lineRule="exact"/>
              <w:ind w:left="29" w:right="23"/>
              <w:jc w:val="both"/>
              <w:rPr>
                <w:sz w:val="20"/>
              </w:rPr>
            </w:pPr>
            <w:r>
              <w:rPr>
                <w:sz w:val="20"/>
              </w:rPr>
              <w:t>Marcadores genéticos: tipos e características; Eleição do tipo de marcador; Desenho de amostragem em conservação</w:t>
            </w:r>
          </w:p>
        </w:tc>
        <w:tc>
          <w:tcPr>
            <w:tcW w:w="2632" w:type="dxa"/>
          </w:tcPr>
          <w:p w14:paraId="67BB4922" w14:textId="77777777" w:rsidR="00F82766" w:rsidRDefault="006F1CA7">
            <w:pPr>
              <w:pStyle w:val="TableParagraph"/>
              <w:spacing w:line="228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Vincenzo Landi</w:t>
            </w:r>
          </w:p>
        </w:tc>
      </w:tr>
      <w:tr w:rsidR="00F82766" w14:paraId="440D57C8" w14:textId="77777777">
        <w:trPr>
          <w:trHeight w:val="687"/>
        </w:trPr>
        <w:tc>
          <w:tcPr>
            <w:tcW w:w="826" w:type="dxa"/>
          </w:tcPr>
          <w:p w14:paraId="4CB7D375" w14:textId="77777777" w:rsidR="00F82766" w:rsidRDefault="006F1CA7">
            <w:pPr>
              <w:pStyle w:val="TableParagraph"/>
              <w:spacing w:line="229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12/09/17</w:t>
            </w:r>
          </w:p>
        </w:tc>
        <w:tc>
          <w:tcPr>
            <w:tcW w:w="972" w:type="dxa"/>
          </w:tcPr>
          <w:p w14:paraId="433813E8" w14:textId="77777777" w:rsidR="00F82766" w:rsidRDefault="006F1CA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14 às 18h</w:t>
            </w:r>
          </w:p>
        </w:tc>
        <w:tc>
          <w:tcPr>
            <w:tcW w:w="1030" w:type="dxa"/>
          </w:tcPr>
          <w:p w14:paraId="59609468" w14:textId="77777777" w:rsidR="00F82766" w:rsidRDefault="00F82766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14:paraId="692A2D8D" w14:textId="77777777" w:rsidR="00F82766" w:rsidRDefault="006F1CA7">
            <w:pPr>
              <w:pStyle w:val="TableParagraph"/>
              <w:spacing w:line="229" w:lineRule="exact"/>
              <w:ind w:left="196" w:hanging="82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  <w:p w14:paraId="122256E9" w14:textId="77777777" w:rsidR="00F82766" w:rsidRDefault="006F1CA7">
            <w:pPr>
              <w:pStyle w:val="TableParagraph"/>
              <w:spacing w:before="5" w:line="228" w:lineRule="exact"/>
              <w:ind w:left="234" w:right="175" w:hanging="39"/>
              <w:rPr>
                <w:sz w:val="20"/>
              </w:rPr>
            </w:pPr>
            <w:r>
              <w:rPr>
                <w:sz w:val="20"/>
              </w:rPr>
              <w:t>teórico- prática</w:t>
            </w:r>
          </w:p>
        </w:tc>
        <w:tc>
          <w:tcPr>
            <w:tcW w:w="3513" w:type="dxa"/>
          </w:tcPr>
          <w:p w14:paraId="4A6CF692" w14:textId="77777777" w:rsidR="00F82766" w:rsidRDefault="006F1CA7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Desenho de um painel de microssatélites</w:t>
            </w:r>
          </w:p>
        </w:tc>
        <w:tc>
          <w:tcPr>
            <w:tcW w:w="2632" w:type="dxa"/>
          </w:tcPr>
          <w:p w14:paraId="513C1548" w14:textId="77777777" w:rsidR="00F82766" w:rsidRDefault="006F1CA7">
            <w:pPr>
              <w:pStyle w:val="TableParagraph"/>
              <w:spacing w:line="229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Vincenzo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Landi</w:t>
            </w:r>
          </w:p>
          <w:p w14:paraId="0909479F" w14:textId="77777777" w:rsidR="00F82766" w:rsidRDefault="006F1CA7">
            <w:pPr>
              <w:pStyle w:val="TableParagraph"/>
              <w:spacing w:before="5" w:line="228" w:lineRule="exact"/>
              <w:ind w:left="853" w:right="23" w:firstLine="127"/>
              <w:jc w:val="right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Maria Ivete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Moura</w:t>
            </w:r>
          </w:p>
        </w:tc>
      </w:tr>
      <w:tr w:rsidR="00F82766" w14:paraId="2170BBCC" w14:textId="77777777">
        <w:trPr>
          <w:trHeight w:val="919"/>
        </w:trPr>
        <w:tc>
          <w:tcPr>
            <w:tcW w:w="826" w:type="dxa"/>
          </w:tcPr>
          <w:p w14:paraId="4EED7643" w14:textId="77777777" w:rsidR="00F82766" w:rsidRDefault="006F1CA7">
            <w:pPr>
              <w:pStyle w:val="TableParagraph"/>
              <w:spacing w:line="228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13/09/17</w:t>
            </w:r>
          </w:p>
        </w:tc>
        <w:tc>
          <w:tcPr>
            <w:tcW w:w="972" w:type="dxa"/>
          </w:tcPr>
          <w:p w14:paraId="06DEC3AE" w14:textId="77777777" w:rsidR="00F82766" w:rsidRDefault="006F1CA7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14 às 18h</w:t>
            </w:r>
          </w:p>
        </w:tc>
        <w:tc>
          <w:tcPr>
            <w:tcW w:w="1030" w:type="dxa"/>
          </w:tcPr>
          <w:p w14:paraId="2B05ADCC" w14:textId="77777777" w:rsidR="00F82766" w:rsidRDefault="00F82766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14:paraId="13E93ECF" w14:textId="77777777" w:rsidR="00F82766" w:rsidRDefault="006F1CA7">
            <w:pPr>
              <w:pStyle w:val="TableParagraph"/>
              <w:ind w:left="234" w:hanging="120"/>
              <w:rPr>
                <w:sz w:val="20"/>
              </w:rPr>
            </w:pPr>
            <w:r>
              <w:rPr>
                <w:w w:val="95"/>
                <w:sz w:val="20"/>
              </w:rPr>
              <w:t xml:space="preserve">Atividade </w:t>
            </w:r>
            <w:r>
              <w:rPr>
                <w:sz w:val="20"/>
              </w:rPr>
              <w:t>teórica</w:t>
            </w:r>
          </w:p>
        </w:tc>
        <w:tc>
          <w:tcPr>
            <w:tcW w:w="3513" w:type="dxa"/>
          </w:tcPr>
          <w:p w14:paraId="761B3A8D" w14:textId="77777777" w:rsidR="00F82766" w:rsidRDefault="006F1CA7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Introdução de genética de população Variabilidade genética e consanguinidade Asignação individual e identificação Controle de filiação e pedigree</w:t>
            </w:r>
          </w:p>
        </w:tc>
        <w:tc>
          <w:tcPr>
            <w:tcW w:w="2632" w:type="dxa"/>
          </w:tcPr>
          <w:p w14:paraId="0DA22BA3" w14:textId="77777777" w:rsidR="00F82766" w:rsidRDefault="006F1CA7">
            <w:pPr>
              <w:pStyle w:val="TableParagraph"/>
              <w:spacing w:line="228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Vincenzo Landi</w:t>
            </w:r>
          </w:p>
        </w:tc>
      </w:tr>
      <w:tr w:rsidR="00F82766" w14:paraId="5C493D4B" w14:textId="77777777">
        <w:trPr>
          <w:trHeight w:val="459"/>
        </w:trPr>
        <w:tc>
          <w:tcPr>
            <w:tcW w:w="826" w:type="dxa"/>
          </w:tcPr>
          <w:p w14:paraId="7CE141B2" w14:textId="77777777" w:rsidR="00F82766" w:rsidRDefault="006F1CA7">
            <w:pPr>
              <w:pStyle w:val="TableParagraph"/>
              <w:spacing w:line="229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14/09/17</w:t>
            </w:r>
          </w:p>
        </w:tc>
        <w:tc>
          <w:tcPr>
            <w:tcW w:w="972" w:type="dxa"/>
          </w:tcPr>
          <w:p w14:paraId="68A23988" w14:textId="77777777" w:rsidR="00F82766" w:rsidRDefault="006F1CA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14 às 18h</w:t>
            </w:r>
          </w:p>
        </w:tc>
        <w:tc>
          <w:tcPr>
            <w:tcW w:w="1030" w:type="dxa"/>
          </w:tcPr>
          <w:p w14:paraId="3285F797" w14:textId="77777777" w:rsidR="00F82766" w:rsidRDefault="00F82766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14:paraId="587825E2" w14:textId="77777777" w:rsidR="00F82766" w:rsidRDefault="006F1CA7">
            <w:pPr>
              <w:pStyle w:val="TableParagraph"/>
              <w:spacing w:before="2" w:line="230" w:lineRule="exact"/>
              <w:ind w:left="234" w:hanging="120"/>
              <w:rPr>
                <w:sz w:val="20"/>
              </w:rPr>
            </w:pPr>
            <w:r>
              <w:rPr>
                <w:w w:val="95"/>
                <w:sz w:val="20"/>
              </w:rPr>
              <w:t xml:space="preserve">Atividade </w:t>
            </w:r>
            <w:r>
              <w:rPr>
                <w:sz w:val="20"/>
              </w:rPr>
              <w:t>teórica</w:t>
            </w:r>
          </w:p>
        </w:tc>
        <w:tc>
          <w:tcPr>
            <w:tcW w:w="3513" w:type="dxa"/>
          </w:tcPr>
          <w:p w14:paraId="14523AA0" w14:textId="77777777" w:rsidR="00F82766" w:rsidRDefault="006F1CA7">
            <w:pPr>
              <w:pStyle w:val="TableParagraph"/>
              <w:spacing w:before="2"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Estudo da diversidade genética com microssatélites</w:t>
            </w:r>
          </w:p>
        </w:tc>
        <w:tc>
          <w:tcPr>
            <w:tcW w:w="2632" w:type="dxa"/>
          </w:tcPr>
          <w:p w14:paraId="319FD8B4" w14:textId="77777777" w:rsidR="00F82766" w:rsidRDefault="006F1CA7">
            <w:pPr>
              <w:pStyle w:val="TableParagraph"/>
              <w:spacing w:line="229" w:lineRule="exact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Vincenzo Landi</w:t>
            </w:r>
          </w:p>
        </w:tc>
      </w:tr>
      <w:tr w:rsidR="00F82766" w14:paraId="6C4B11E2" w14:textId="77777777">
        <w:trPr>
          <w:trHeight w:val="1147"/>
        </w:trPr>
        <w:tc>
          <w:tcPr>
            <w:tcW w:w="826" w:type="dxa"/>
          </w:tcPr>
          <w:p w14:paraId="00C1402A" w14:textId="77777777" w:rsidR="00F82766" w:rsidRDefault="006F1CA7">
            <w:pPr>
              <w:pStyle w:val="TableParagraph"/>
              <w:spacing w:line="226" w:lineRule="exact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15/09/17</w:t>
            </w:r>
          </w:p>
        </w:tc>
        <w:tc>
          <w:tcPr>
            <w:tcW w:w="972" w:type="dxa"/>
          </w:tcPr>
          <w:p w14:paraId="10C73D8A" w14:textId="77777777" w:rsidR="00F82766" w:rsidRDefault="006F1CA7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14 às 18h</w:t>
            </w:r>
          </w:p>
        </w:tc>
        <w:tc>
          <w:tcPr>
            <w:tcW w:w="1030" w:type="dxa"/>
          </w:tcPr>
          <w:p w14:paraId="4690860A" w14:textId="77777777" w:rsidR="00F82766" w:rsidRDefault="00F82766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14:paraId="317307BC" w14:textId="77777777" w:rsidR="00F82766" w:rsidRDefault="006F1CA7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Atividade teórico- prática</w:t>
            </w:r>
          </w:p>
        </w:tc>
        <w:tc>
          <w:tcPr>
            <w:tcW w:w="3513" w:type="dxa"/>
          </w:tcPr>
          <w:p w14:paraId="24FC8E37" w14:textId="77777777" w:rsidR="00F82766" w:rsidRDefault="006F1CA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Ferramenta de nova geração: uso em conservação</w:t>
            </w:r>
          </w:p>
          <w:p w14:paraId="07E8A26F" w14:textId="77777777" w:rsidR="00F82766" w:rsidRDefault="006F1CA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Seleção assistida por marcadores</w:t>
            </w:r>
          </w:p>
          <w:p w14:paraId="02AC369F" w14:textId="77777777" w:rsidR="00F82766" w:rsidRDefault="006F1CA7">
            <w:pPr>
              <w:pStyle w:val="TableParagraph"/>
              <w:spacing w:line="230" w:lineRule="atLeast"/>
              <w:ind w:left="29"/>
              <w:rPr>
                <w:sz w:val="20"/>
              </w:rPr>
            </w:pPr>
            <w:r>
              <w:rPr>
                <w:sz w:val="20"/>
              </w:rPr>
              <w:t>Desenho de um painel de SNPs de baixa densidade</w:t>
            </w:r>
          </w:p>
        </w:tc>
        <w:tc>
          <w:tcPr>
            <w:tcW w:w="2632" w:type="dxa"/>
          </w:tcPr>
          <w:p w14:paraId="23B83161" w14:textId="77777777" w:rsidR="00F82766" w:rsidRDefault="006F1CA7">
            <w:pPr>
              <w:pStyle w:val="TableParagraph"/>
              <w:ind w:left="853" w:right="23" w:firstLine="465"/>
              <w:jc w:val="right"/>
              <w:rPr>
                <w:sz w:val="20"/>
              </w:rPr>
            </w:pPr>
            <w:r>
              <w:rPr>
                <w:sz w:val="20"/>
              </w:rPr>
              <w:t>Vincenzo Landi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Gustavo Lage Costa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Maria Ivete de Moura</w:t>
            </w:r>
          </w:p>
        </w:tc>
      </w:tr>
    </w:tbl>
    <w:p w14:paraId="16F9EC10" w14:textId="77777777" w:rsidR="00F82766" w:rsidRDefault="00F82766">
      <w:pPr>
        <w:rPr>
          <w:b/>
          <w:sz w:val="20"/>
        </w:rPr>
      </w:pPr>
    </w:p>
    <w:p w14:paraId="0CE1D717" w14:textId="77777777" w:rsidR="00F82766" w:rsidRDefault="006F1CA7">
      <w:pPr>
        <w:pStyle w:val="Corpodetexto"/>
        <w:spacing w:before="1" w:after="19"/>
        <w:ind w:left="138"/>
      </w:pPr>
      <w:r>
        <w:rPr>
          <w:shadow/>
        </w:rPr>
        <w:t>BIBLIOGRAFIA</w:t>
      </w:r>
      <w:r>
        <w:t xml:space="preserve"> </w:t>
      </w:r>
      <w:r>
        <w:rPr>
          <w:shadow/>
        </w:rPr>
        <w:t>SUGERIDA</w:t>
      </w:r>
    </w:p>
    <w:p w14:paraId="4F054673" w14:textId="77777777" w:rsidR="00F82766" w:rsidRDefault="006F1CA7">
      <w:pPr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7F60AFCF">
          <v:group id="_x0000_s1026" style="width:484.9pt;height:.5pt;mso-position-horizontal-relative:char;mso-position-vertical-relative:line" coordsize="9698,10">
            <v:line id="_x0000_s1027" style="position:absolute" from="0,5" to="9697,5" strokeweight=".48pt"/>
            <w10:anchorlock/>
          </v:group>
        </w:pict>
      </w:r>
    </w:p>
    <w:p w14:paraId="186C935B" w14:textId="77777777" w:rsidR="00F82766" w:rsidRPr="006F1CA7" w:rsidRDefault="006F1CA7">
      <w:pPr>
        <w:ind w:left="138" w:right="711"/>
        <w:jc w:val="both"/>
        <w:rPr>
          <w:sz w:val="20"/>
          <w:lang w:val="en-US"/>
        </w:rPr>
      </w:pPr>
      <w:r>
        <w:rPr>
          <w:sz w:val="20"/>
        </w:rPr>
        <w:t xml:space="preserve">María E. Fernández, Daniel E. Goszczynski1, Juan P. Lirón, Egle E. Villegas-Castagnasso, Mónica H. Carino, María V. Ripoli, Andrés Rogberg-Muñoz, Diego M. Posik2, Pilar Peral-García1 and Guillermo Giovambattista. </w:t>
      </w:r>
      <w:r w:rsidRPr="006F1CA7">
        <w:rPr>
          <w:b/>
          <w:sz w:val="20"/>
          <w:lang w:val="en-US"/>
        </w:rPr>
        <w:t>Compari</w:t>
      </w:r>
      <w:r w:rsidRPr="006F1CA7">
        <w:rPr>
          <w:b/>
          <w:sz w:val="20"/>
          <w:lang w:val="en-US"/>
        </w:rPr>
        <w:t xml:space="preserve">son of the effectiveness of microsatellites and SNP panels for genetic identification, traceability and assessment of parentage in an inbred Angus herd. </w:t>
      </w:r>
      <w:r w:rsidRPr="006F1CA7">
        <w:rPr>
          <w:i/>
          <w:sz w:val="20"/>
          <w:lang w:val="en-US"/>
        </w:rPr>
        <w:t>Genetics and Molecular Biology</w:t>
      </w:r>
      <w:r w:rsidRPr="006F1CA7">
        <w:rPr>
          <w:sz w:val="20"/>
          <w:lang w:val="en-US"/>
        </w:rPr>
        <w:t>, 36, 2, 185-191,</w:t>
      </w:r>
      <w:r w:rsidRPr="006F1CA7">
        <w:rPr>
          <w:spacing w:val="-19"/>
          <w:sz w:val="20"/>
          <w:lang w:val="en-US"/>
        </w:rPr>
        <w:t xml:space="preserve"> </w:t>
      </w:r>
      <w:r w:rsidRPr="006F1CA7">
        <w:rPr>
          <w:sz w:val="20"/>
          <w:lang w:val="en-US"/>
        </w:rPr>
        <w:t>2013.</w:t>
      </w:r>
    </w:p>
    <w:p w14:paraId="185DBAEA" w14:textId="77777777" w:rsidR="00F82766" w:rsidRPr="006F1CA7" w:rsidRDefault="00F82766">
      <w:pPr>
        <w:spacing w:before="9"/>
        <w:rPr>
          <w:sz w:val="20"/>
          <w:lang w:val="en-US"/>
        </w:rPr>
      </w:pPr>
    </w:p>
    <w:p w14:paraId="5ED866F7" w14:textId="77777777" w:rsidR="00F82766" w:rsidRDefault="006F1CA7">
      <w:pPr>
        <w:ind w:left="138" w:right="711"/>
        <w:jc w:val="both"/>
        <w:rPr>
          <w:sz w:val="20"/>
        </w:rPr>
      </w:pPr>
      <w:r w:rsidRPr="006F1CA7">
        <w:rPr>
          <w:sz w:val="20"/>
          <w:lang w:val="en-US"/>
        </w:rPr>
        <w:t xml:space="preserve">Shamjana, U., Thashi Bharadwaj; Tony Grace. </w:t>
      </w:r>
      <w:r w:rsidRPr="006F1CA7">
        <w:rPr>
          <w:b/>
          <w:sz w:val="20"/>
          <w:lang w:val="en-US"/>
        </w:rPr>
        <w:t>Micr</w:t>
      </w:r>
      <w:r w:rsidRPr="006F1CA7">
        <w:rPr>
          <w:b/>
          <w:sz w:val="20"/>
          <w:lang w:val="en-US"/>
        </w:rPr>
        <w:t>osatellites: a versatile marker for genetic/evolutionary/ecological studies</w:t>
      </w:r>
      <w:r w:rsidRPr="006F1CA7">
        <w:rPr>
          <w:sz w:val="20"/>
          <w:lang w:val="en-US"/>
        </w:rPr>
        <w:t xml:space="preserve">. </w:t>
      </w:r>
      <w:r>
        <w:rPr>
          <w:sz w:val="20"/>
        </w:rPr>
        <w:t>I.J.A.B.R, VOL. 5(2) 2015: 86-95.</w:t>
      </w:r>
    </w:p>
    <w:p w14:paraId="2EF30845" w14:textId="77777777" w:rsidR="00F82766" w:rsidRDefault="00F82766">
      <w:pPr>
        <w:spacing w:before="11"/>
        <w:rPr>
          <w:sz w:val="20"/>
        </w:rPr>
      </w:pPr>
    </w:p>
    <w:p w14:paraId="3C91002E" w14:textId="77777777" w:rsidR="00F82766" w:rsidRPr="006F1CA7" w:rsidRDefault="006F1CA7">
      <w:pPr>
        <w:ind w:left="138" w:right="711"/>
        <w:jc w:val="both"/>
        <w:rPr>
          <w:sz w:val="20"/>
          <w:lang w:val="en-US"/>
        </w:rPr>
      </w:pPr>
      <w:r>
        <w:rPr>
          <w:sz w:val="20"/>
        </w:rPr>
        <w:t xml:space="preserve">Julio Vargas, Vincenzo Landi, Amparo MartõÂnez, Mayra GoÂmez, María Esperanza Camacho, Luz Ângela Àlvarez, Lenin Aguirre, Juan Vicente Delgado. </w:t>
      </w:r>
      <w:r w:rsidRPr="006F1CA7">
        <w:rPr>
          <w:b/>
          <w:sz w:val="20"/>
          <w:lang w:val="en-US"/>
        </w:rPr>
        <w:t xml:space="preserve">Molecular study of the Amazonian macabea cattle history. </w:t>
      </w:r>
      <w:r w:rsidRPr="006F1CA7">
        <w:rPr>
          <w:sz w:val="20"/>
          <w:lang w:val="en-US"/>
        </w:rPr>
        <w:t>PLOS ONE, October 24, 2016 1 /</w:t>
      </w:r>
    </w:p>
    <w:p w14:paraId="21C0B8A2" w14:textId="77777777" w:rsidR="00F82766" w:rsidRPr="006F1CA7" w:rsidRDefault="00F82766">
      <w:pPr>
        <w:rPr>
          <w:sz w:val="20"/>
          <w:lang w:val="en-US"/>
        </w:rPr>
      </w:pPr>
    </w:p>
    <w:p w14:paraId="7977E31C" w14:textId="77777777" w:rsidR="00F82766" w:rsidRPr="006F1CA7" w:rsidRDefault="00F82766">
      <w:pPr>
        <w:rPr>
          <w:sz w:val="20"/>
          <w:lang w:val="en-US"/>
        </w:rPr>
      </w:pPr>
    </w:p>
    <w:p w14:paraId="07509539" w14:textId="77777777" w:rsidR="00F82766" w:rsidRPr="006F1CA7" w:rsidRDefault="00F82766">
      <w:pPr>
        <w:rPr>
          <w:sz w:val="20"/>
          <w:lang w:val="en-US"/>
        </w:rPr>
      </w:pPr>
    </w:p>
    <w:p w14:paraId="39795C7C" w14:textId="77777777" w:rsidR="00F82766" w:rsidRPr="006F1CA7" w:rsidRDefault="00F82766">
      <w:pPr>
        <w:rPr>
          <w:lang w:val="en-US"/>
        </w:rPr>
      </w:pPr>
    </w:p>
    <w:p w14:paraId="7FDDE466" w14:textId="77777777" w:rsidR="00F82766" w:rsidRDefault="006F1CA7">
      <w:pPr>
        <w:spacing w:before="43"/>
        <w:ind w:left="3789" w:right="4360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Página 1 de 1</w:t>
      </w:r>
    </w:p>
    <w:sectPr w:rsidR="00F82766">
      <w:type w:val="continuous"/>
      <w:pgSz w:w="11910" w:h="16850"/>
      <w:pgMar w:top="740" w:right="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766"/>
    <w:rsid w:val="006F1CA7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7655DF"/>
  <w15:docId w15:val="{8FB641E5-E352-4B63-B991-05055D9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Pós-Graduandos</dc:creator>
  <cp:lastModifiedBy>Ana Flávia</cp:lastModifiedBy>
  <cp:revision>2</cp:revision>
  <dcterms:created xsi:type="dcterms:W3CDTF">2020-12-09T17:55:00Z</dcterms:created>
  <dcterms:modified xsi:type="dcterms:W3CDTF">2020-12-09T17:56:00Z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