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color w:val="auto"/>
        </w:rPr>
        <w:t>ANEXO II - TABELA DE PONTUAÇÃO – AVALIAÇÃO 1 / FASE I</w:t>
      </w:r>
    </w:p>
    <w:p>
      <w:pPr>
        <w:pStyle w:val="Normal1"/>
        <w:spacing w:lineRule="auto" w:line="240" w:before="120" w:after="120"/>
        <w:ind w:left="0" w:right="120" w:hanging="0"/>
        <w:jc w:val="left"/>
        <w:rPr>
          <w:rFonts w:ascii="Calibri" w:hAnsi="Calibri" w:eastAsia="Calibri" w:cs="Calibri"/>
          <w:b/>
          <w:b/>
          <w:color w:val="auto"/>
        </w:rPr>
      </w:pPr>
      <w:r>
        <w:rPr>
          <w:rFonts w:eastAsia="Calibri" w:cs="Calibri" w:ascii="Calibri" w:hAnsi="Calibri"/>
          <w:b/>
          <w:color w:val="auto"/>
        </w:rPr>
      </w:r>
    </w:p>
    <w:tbl>
      <w:tblPr>
        <w:tblStyle w:val="Table1"/>
        <w:tblW w:w="901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229"/>
        <w:gridCol w:w="1275"/>
        <w:gridCol w:w="855"/>
        <w:gridCol w:w="1335"/>
        <w:gridCol w:w="1"/>
        <w:gridCol w:w="1320"/>
      </w:tblGrid>
      <w:tr>
        <w:trPr>
          <w:trHeight w:val="530" w:hRule="atLeast"/>
        </w:trPr>
        <w:tc>
          <w:tcPr>
            <w:tcW w:w="422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  <w:color w:val="auto"/>
              </w:rPr>
              <w:t>ITEM</w:t>
            </w:r>
          </w:p>
        </w:tc>
        <w:tc>
          <w:tcPr>
            <w:tcW w:w="12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  <w:color w:val="auto"/>
              </w:rPr>
              <w:t xml:space="preserve">Pontos </w:t>
            </w:r>
          </w:p>
        </w:tc>
        <w:tc>
          <w:tcPr>
            <w:tcW w:w="8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  <w:color w:val="auto"/>
              </w:rPr>
              <w:t>Soma</w:t>
            </w:r>
          </w:p>
        </w:tc>
        <w:tc>
          <w:tcPr>
            <w:tcW w:w="265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  <w:color w:val="auto"/>
              </w:rPr>
              <w:t>PONTUAÇÃO</w:t>
            </w:r>
          </w:p>
        </w:tc>
      </w:tr>
      <w:tr>
        <w:trPr>
          <w:trHeight w:val="800" w:hRule="atLeast"/>
        </w:trPr>
        <w:tc>
          <w:tcPr>
            <w:tcW w:w="4229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27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85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  <w:color w:val="auto"/>
              </w:rPr>
              <w:t xml:space="preserve">Trava de </w:t>
            </w:r>
          </w:p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  <w:color w:val="auto"/>
              </w:rPr>
              <w:t>pontuação</w:t>
            </w:r>
          </w:p>
        </w:tc>
        <w:tc>
          <w:tcPr>
            <w:tcW w:w="13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  <w:color w:val="auto"/>
              </w:rPr>
              <w:t>Pontuação</w:t>
            </w:r>
          </w:p>
        </w:tc>
      </w:tr>
      <w:tr>
        <w:trPr>
          <w:trHeight w:val="530" w:hRule="atLeast"/>
        </w:trPr>
        <w:tc>
          <w:tcPr>
            <w:tcW w:w="9015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  <w:color w:val="auto"/>
              </w:rPr>
              <w:t>Do Candidato (conforme documentação apresentada)</w:t>
            </w:r>
          </w:p>
        </w:tc>
      </w:tr>
      <w:tr>
        <w:trPr>
          <w:trHeight w:val="530" w:hRule="atLeast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Aprovado no exame de qualificação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50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50</w:t>
            </w:r>
          </w:p>
        </w:tc>
        <w:tc>
          <w:tcPr>
            <w:tcW w:w="13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Com o segundo ano do curso concluído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  <w:tc>
          <w:tcPr>
            <w:tcW w:w="133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Com o primeiro ano do curso concluído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10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  <w:tc>
          <w:tcPr>
            <w:tcW w:w="133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</w:tr>
      <w:tr>
        <w:trPr>
          <w:trHeight w:val="1340" w:hRule="atLeast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Artigos em Periódicos com Qualis/Capes A1 e A2, </w:t>
            </w:r>
            <w:r>
              <w:rPr>
                <w:rFonts w:eastAsia="Calibri" w:cs="Calibri" w:ascii="Calibri" w:hAnsi="Calibri"/>
                <w:color w:val="auto"/>
              </w:rPr>
              <w:t>considerados</w:t>
            </w:r>
            <w:r>
              <w:rPr>
                <w:rFonts w:eastAsia="Calibri" w:cs="Calibri" w:ascii="Calibri" w:hAnsi="Calibri"/>
                <w:color w:val="auto"/>
              </w:rPr>
              <w:t xml:space="preserve"> pela Área de Avaliação do PPG onde o estudante está vinculado (desde 2019)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50 </w:t>
            </w:r>
          </w:p>
        </w:tc>
        <w:tc>
          <w:tcPr>
            <w:tcW w:w="8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 w:ascii="Calibri" w:hAnsi="Calibri"/>
                <w:color w:val="auto"/>
              </w:rPr>
              <w:t>350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</w:tr>
      <w:tr>
        <w:trPr>
          <w:trHeight w:val="1340" w:hRule="atLeast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Artigos em Periódicos com Qualis/Capes </w:t>
            </w:r>
            <w:r>
              <w:rPr>
                <w:rFonts w:eastAsia="Calibri" w:cs="Calibri" w:ascii="Calibri" w:hAnsi="Calibri"/>
                <w:color w:val="auto"/>
              </w:rPr>
              <w:t>A3 e A4, considerados</w:t>
            </w:r>
            <w:r>
              <w:rPr>
                <w:rFonts w:eastAsia="Calibri" w:cs="Calibri" w:ascii="Calibri" w:hAnsi="Calibri"/>
                <w:color w:val="auto"/>
              </w:rPr>
              <w:t xml:space="preserve"> pela Área de Avaliação do PPG onde o estudante está vinculado (desde 2019)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25</w:t>
            </w:r>
          </w:p>
        </w:tc>
        <w:tc>
          <w:tcPr>
            <w:tcW w:w="85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3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21" w:type="dxa"/>
            <w:gridSpan w:val="2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800" w:hRule="atLeast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Livro publicado com Qualis/Capes (desde 2019)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50</w:t>
            </w:r>
          </w:p>
        </w:tc>
        <w:tc>
          <w:tcPr>
            <w:tcW w:w="85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3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21" w:type="dxa"/>
            <w:gridSpan w:val="2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800" w:hRule="atLeast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Capítulo de Livro com Qualis/Capes (desde 2019)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20</w:t>
            </w:r>
          </w:p>
        </w:tc>
        <w:tc>
          <w:tcPr>
            <w:tcW w:w="85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3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21" w:type="dxa"/>
            <w:gridSpan w:val="2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530" w:hRule="atLeast"/>
        </w:trPr>
        <w:tc>
          <w:tcPr>
            <w:tcW w:w="422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Grau de vinculação das atividades a serem realizadas no período sanduíche no exterior com o projeto de pesquisa do estudante.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Alto = 100</w:t>
            </w:r>
          </w:p>
        </w:tc>
        <w:tc>
          <w:tcPr>
            <w:tcW w:w="8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100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W w:w="4229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Moderado = 50</w:t>
            </w:r>
          </w:p>
        </w:tc>
        <w:tc>
          <w:tcPr>
            <w:tcW w:w="85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3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21" w:type="dxa"/>
            <w:gridSpan w:val="2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530" w:hRule="atLeast"/>
        </w:trPr>
        <w:tc>
          <w:tcPr>
            <w:tcW w:w="4229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Baixo = 10</w:t>
            </w:r>
          </w:p>
        </w:tc>
        <w:tc>
          <w:tcPr>
            <w:tcW w:w="85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3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21" w:type="dxa"/>
            <w:gridSpan w:val="2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530" w:hRule="atLeast"/>
        </w:trPr>
        <w:tc>
          <w:tcPr>
            <w:tcW w:w="9015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  <w:color w:val="auto"/>
              </w:rPr>
              <w:t>Do Orientador (conforme Lattes)</w:t>
            </w:r>
          </w:p>
        </w:tc>
      </w:tr>
      <w:tr>
        <w:trPr>
          <w:trHeight w:val="800" w:hRule="atLeast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Parcerias em publicações em artigos científicos com o coorientador estrangeiro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25/artigo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300</w:t>
            </w:r>
          </w:p>
        </w:tc>
        <w:tc>
          <w:tcPr>
            <w:tcW w:w="13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</w:tr>
      <w:tr>
        <w:trPr>
          <w:trHeight w:val="1340" w:hRule="atLeast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Artigos em Periódicos com Qualis/Capes A1 e A2 considerados pela Área de Avaliação do PPG onde o estudante está vinculado (desde 2019)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50/artigo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  <w:tc>
          <w:tcPr>
            <w:tcW w:w="133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</w:tr>
      <w:tr>
        <w:trPr>
          <w:trHeight w:val="1340" w:hRule="atLeast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Artigos em Periódicos com Qualis/Capes </w:t>
            </w:r>
            <w:r>
              <w:rPr>
                <w:rFonts w:eastAsia="Calibri" w:cs="Calibri" w:ascii="Calibri" w:hAnsi="Calibri"/>
                <w:color w:val="auto"/>
              </w:rPr>
              <w:t>A3 e A4 considerados</w:t>
            </w:r>
            <w:r>
              <w:rPr>
                <w:rFonts w:eastAsia="Calibri" w:cs="Calibri" w:ascii="Calibri" w:hAnsi="Calibri"/>
                <w:color w:val="auto"/>
              </w:rPr>
              <w:t xml:space="preserve"> pela Área de Avaliação do PPG onde o estudante está vinculado (desde 2019)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25/artigo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  <w:tc>
          <w:tcPr>
            <w:tcW w:w="133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Livro publicado com Qualis/Capes (desde 2019)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50/livro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  <w:tc>
          <w:tcPr>
            <w:tcW w:w="133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Capítulo de Livro com Qualis/Capes (desde 2019)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0" w:right="-68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20/capítulo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  <w:tc>
          <w:tcPr>
            <w:tcW w:w="133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W w:w="9015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  <w:color w:val="auto"/>
              </w:rPr>
              <w:t>Interação técnico-científica entre orientador e co-orientador</w:t>
            </w:r>
          </w:p>
        </w:tc>
      </w:tr>
      <w:tr>
        <w:trPr>
          <w:trHeight w:val="530" w:hRule="atLeast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Na publicação científica (artigo e/ou livro)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100</w:t>
            </w:r>
          </w:p>
        </w:tc>
        <w:tc>
          <w:tcPr>
            <w:tcW w:w="13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Na realização de atividades didáticas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  <w:tc>
          <w:tcPr>
            <w:tcW w:w="133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Na participação de bancas (qualificação, defesa)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  <w:tc>
          <w:tcPr>
            <w:tcW w:w="133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Nas atividades de orientação/supervisão de estudantes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  <w:tc>
          <w:tcPr>
            <w:tcW w:w="133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W w:w="9015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  <w:color w:val="auto"/>
              </w:rPr>
              <w:t>Instituição de destino</w:t>
            </w:r>
          </w:p>
        </w:tc>
      </w:tr>
      <w:tr>
        <w:trPr>
          <w:trHeight w:val="1610" w:hRule="atLeast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Constar, em 2023 ou 2022, entre as 100 melhores do mundo no Times Higher Education World University Rankings ou Academic Ranking of World Universities, ou QS World University Rankings.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100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100 </w:t>
            </w:r>
          </w:p>
        </w:tc>
        <w:tc>
          <w:tcPr>
            <w:tcW w:w="13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</w:tr>
      <w:tr>
        <w:trPr>
          <w:trHeight w:val="1340" w:hRule="atLeast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Entre as 1000 melhores do mundo no Times Higher Education World University Rankings ou Academic Ranking of World Universities, ou QS World University Rankings.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60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  <w:tc>
          <w:tcPr>
            <w:tcW w:w="133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Referência na área, mas não consta em rankings internacionais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30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  <w:tc>
          <w:tcPr>
            <w:tcW w:w="133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righ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TOTAL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>1000</w:t>
            </w: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  <w:color w:val="auto"/>
              </w:rPr>
              <w:t>-----</w:t>
            </w:r>
          </w:p>
        </w:tc>
      </w:tr>
      <w:tr>
        <w:trPr>
          <w:trHeight w:val="530" w:hRule="atLeast"/>
        </w:trPr>
        <w:tc>
          <w:tcPr>
            <w:tcW w:w="769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jc w:val="righ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  <w:color w:val="auto"/>
              </w:rPr>
              <w:t>* NOTA FINAL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1"/>
              <w:ind w:left="60" w:right="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auto"/>
              </w:rPr>
              <w:t xml:space="preserve"> </w:t>
            </w:r>
          </w:p>
        </w:tc>
      </w:tr>
    </w:tbl>
    <w:p>
      <w:pPr>
        <w:pStyle w:val="Normal1"/>
        <w:ind w:left="60" w:right="60" w:hanging="0"/>
        <w:rPr>
          <w:color w:val="auto"/>
        </w:rPr>
      </w:pPr>
      <w:r>
        <w:rPr>
          <w:rFonts w:eastAsia="Calibri" w:cs="Calibri" w:ascii="Calibri" w:hAnsi="Calibri"/>
          <w:color w:val="auto"/>
        </w:rPr>
        <w:t xml:space="preserve">*A Nota Final corresponderá ao total da pontuação dividido por </w:t>
      </w:r>
      <w:r>
        <w:rPr>
          <w:rFonts w:eastAsia="Calibri" w:cs="Calibri" w:ascii="Calibri" w:hAnsi="Calibri"/>
          <w:color w:val="auto"/>
        </w:rPr>
        <w:t>100</w:t>
      </w:r>
      <w:r>
        <w:rPr>
          <w:rFonts w:eastAsia="Calibri" w:cs="Calibri" w:ascii="Calibri" w:hAnsi="Calibri"/>
          <w:color w:val="auto"/>
        </w:rPr>
        <w:t xml:space="preserve">. </w:t>
      </w:r>
    </w:p>
    <w:sectPr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LibreOffice/6.2.0.3$Windows_X86_64 LibreOffice_project/98c6a8a1c6c7b144ce3cc729e34964b47ce25d62</Application>
  <Pages>2</Pages>
  <Words>336</Words>
  <Characters>1827</Characters>
  <CharactersWithSpaces>2159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2024-03-25T15:44:06Z</dcterms:modified>
  <cp:revision>1</cp:revision>
  <dc:subject/>
  <dc:title/>
</cp:coreProperties>
</file>