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ind w:right="2" w:hanging="0"/>
        <w:jc w:val="center"/>
        <w:rPr>
          <w:b/>
          <w:b/>
          <w:color w:val="FF0000"/>
          <w:sz w:val="24"/>
          <w:szCs w:val="24"/>
        </w:rPr>
      </w:pPr>
      <w:r>
        <w:rPr>
          <w:b/>
          <w:sz w:val="24"/>
          <w:szCs w:val="24"/>
        </w:rPr>
        <w:t xml:space="preserve">PROJETO PEDAGÓGICO DO CURSO DE GRADUAÇÃO EM </w:t>
      </w:r>
      <w:r>
        <w:rPr>
          <w:b/>
          <w:color w:val="FF0000"/>
          <w:sz w:val="24"/>
          <w:szCs w:val="24"/>
        </w:rPr>
        <w:t>XXXXXX</w:t>
      </w:r>
    </w:p>
    <w:p>
      <w:pPr>
        <w:pStyle w:val="Normal"/>
        <w:spacing w:lineRule="auto" w:line="360"/>
        <w:ind w:right="2" w:hanging="0"/>
        <w:jc w:val="center"/>
        <w:rPr>
          <w:b/>
          <w:b/>
          <w:sz w:val="24"/>
          <w:szCs w:val="24"/>
        </w:rPr>
      </w:pPr>
      <w:r>
        <w:rPr>
          <w:b/>
          <w:sz w:val="24"/>
          <w:szCs w:val="24"/>
        </w:rPr>
      </w:r>
    </w:p>
    <w:p>
      <w:pPr>
        <w:pStyle w:val="Normal"/>
        <w:spacing w:lineRule="auto" w:line="360"/>
        <w:ind w:right="2" w:hanging="0"/>
        <w:jc w:val="center"/>
        <w:rPr>
          <w:b/>
          <w:b/>
          <w:color w:val="FF0000"/>
          <w:sz w:val="24"/>
          <w:szCs w:val="24"/>
        </w:rPr>
      </w:pPr>
      <w:r>
        <w:rPr>
          <w:b/>
          <w:sz w:val="24"/>
          <w:szCs w:val="24"/>
        </w:rPr>
        <w:t>GRAU ACADÊMICO</w:t>
      </w:r>
      <w:r>
        <w:rPr>
          <w:b/>
          <w:color w:val="FF0000"/>
          <w:sz w:val="24"/>
          <w:szCs w:val="24"/>
        </w:rPr>
        <w:t xml:space="preserve"> LICENCIATURA</w:t>
      </w:r>
    </w:p>
    <w:p>
      <w:pPr>
        <w:pStyle w:val="Normal"/>
        <w:spacing w:lineRule="auto" w:line="360"/>
        <w:ind w:right="2" w:hanging="0"/>
        <w:rPr>
          <w:b/>
          <w:b/>
          <w:color w:val="000000"/>
          <w:sz w:val="24"/>
          <w:szCs w:val="24"/>
        </w:rPr>
      </w:pPr>
      <w:r>
        <w:rPr>
          <w:b/>
          <w:color w:val="000000"/>
          <w:sz w:val="24"/>
          <w:szCs w:val="24"/>
        </w:rPr>
      </w:r>
    </w:p>
    <w:p>
      <w:pPr>
        <w:pStyle w:val="Normal"/>
        <w:spacing w:lineRule="auto" w:line="276"/>
        <w:ind w:right="2" w:hanging="0"/>
        <w:jc w:val="center"/>
        <w:rPr>
          <w:b/>
          <w:b/>
          <w:sz w:val="24"/>
          <w:szCs w:val="24"/>
        </w:rPr>
      </w:pPr>
      <w:r>
        <w:rPr>
          <w:b/>
          <w:sz w:val="24"/>
          <w:szCs w:val="24"/>
        </w:rPr>
        <w:t>UNIVERSIDADE FEDERAL DE JATAÍ</w:t>
      </w:r>
    </w:p>
    <w:p>
      <w:pPr>
        <w:pStyle w:val="Normal"/>
        <w:spacing w:lineRule="auto" w:line="276"/>
        <w:ind w:right="2" w:hanging="0"/>
        <w:jc w:val="center"/>
        <w:rPr>
          <w:sz w:val="24"/>
          <w:szCs w:val="24"/>
        </w:rPr>
      </w:pPr>
      <w:r>
        <w:rPr>
          <w:sz w:val="24"/>
          <w:szCs w:val="24"/>
        </w:rPr>
        <w:t xml:space="preserve">Reitor(a) </w:t>
      </w:r>
    </w:p>
    <w:p>
      <w:pPr>
        <w:pStyle w:val="Normal"/>
        <w:spacing w:lineRule="auto" w:line="276"/>
        <w:ind w:right="2" w:hanging="0"/>
        <w:jc w:val="center"/>
        <w:rPr>
          <w:sz w:val="24"/>
          <w:szCs w:val="24"/>
        </w:rPr>
      </w:pPr>
      <w:r>
        <w:rPr>
          <w:color w:val="FF0000"/>
          <w:sz w:val="24"/>
          <w:szCs w:val="24"/>
        </w:rPr>
        <w:t>Nome</w:t>
      </w:r>
    </w:p>
    <w:p>
      <w:pPr>
        <w:pStyle w:val="Normal"/>
        <w:spacing w:lineRule="auto" w:line="276"/>
        <w:ind w:right="2" w:hanging="0"/>
        <w:jc w:val="center"/>
        <w:rPr>
          <w:sz w:val="24"/>
          <w:szCs w:val="24"/>
        </w:rPr>
      </w:pPr>
      <w:r>
        <w:rPr>
          <w:sz w:val="24"/>
          <w:szCs w:val="24"/>
        </w:rPr>
        <w:t xml:space="preserve">Vice-Reitor(a) </w:t>
      </w:r>
    </w:p>
    <w:p>
      <w:pPr>
        <w:pStyle w:val="Normal"/>
        <w:spacing w:lineRule="auto" w:line="276"/>
        <w:ind w:right="2" w:hanging="0"/>
        <w:jc w:val="center"/>
        <w:rPr>
          <w:sz w:val="24"/>
          <w:szCs w:val="24"/>
        </w:rPr>
      </w:pPr>
      <w:r>
        <w:rPr>
          <w:color w:val="FF0000"/>
          <w:sz w:val="24"/>
          <w:szCs w:val="24"/>
        </w:rPr>
        <w:t>Nome</w:t>
      </w:r>
    </w:p>
    <w:p>
      <w:pPr>
        <w:pStyle w:val="Normal"/>
        <w:spacing w:lineRule="auto" w:line="276"/>
        <w:ind w:right="2" w:hanging="0"/>
        <w:jc w:val="center"/>
        <w:rPr>
          <w:sz w:val="24"/>
          <w:szCs w:val="24"/>
        </w:rPr>
      </w:pPr>
      <w:r>
        <w:rPr>
          <w:sz w:val="24"/>
          <w:szCs w:val="24"/>
        </w:rPr>
        <w:t xml:space="preserve">Pró-Reitor(a) de Graduação </w:t>
      </w:r>
    </w:p>
    <w:p>
      <w:pPr>
        <w:pStyle w:val="Normal"/>
        <w:spacing w:lineRule="auto" w:line="276"/>
        <w:ind w:right="2" w:hanging="0"/>
        <w:jc w:val="center"/>
        <w:rPr>
          <w:sz w:val="24"/>
          <w:szCs w:val="24"/>
        </w:rPr>
      </w:pPr>
      <w:r>
        <w:rPr>
          <w:color w:val="FF0000"/>
          <w:sz w:val="24"/>
          <w:szCs w:val="24"/>
        </w:rPr>
        <w:t>Nome</w:t>
      </w:r>
    </w:p>
    <w:p>
      <w:pPr>
        <w:pStyle w:val="Normal"/>
        <w:pBdr/>
        <w:spacing w:lineRule="auto" w:line="276"/>
        <w:ind w:right="2" w:hanging="0"/>
        <w:rPr>
          <w:color w:val="000000"/>
          <w:sz w:val="24"/>
          <w:szCs w:val="24"/>
        </w:rPr>
      </w:pPr>
      <w:r>
        <w:rPr>
          <w:color w:val="000000"/>
          <w:sz w:val="24"/>
          <w:szCs w:val="24"/>
        </w:rPr>
      </w:r>
    </w:p>
    <w:p>
      <w:pPr>
        <w:pStyle w:val="Normal"/>
        <w:jc w:val="center"/>
        <w:rPr>
          <w:b/>
          <w:b/>
          <w:bCs/>
          <w:sz w:val="24"/>
          <w:szCs w:val="24"/>
        </w:rPr>
      </w:pPr>
      <w:r>
        <w:rPr>
          <w:b/>
          <w:bCs/>
          <w:sz w:val="24"/>
          <w:szCs w:val="24"/>
        </w:rPr>
        <w:t xml:space="preserve">UNIDADE ACADÊMICA </w:t>
      </w:r>
      <w:r>
        <w:rPr>
          <w:b/>
          <w:bCs/>
          <w:color w:val="FF0000"/>
          <w:sz w:val="24"/>
          <w:szCs w:val="24"/>
        </w:rPr>
        <w:t>XXXXXX</w:t>
      </w:r>
    </w:p>
    <w:p>
      <w:pPr>
        <w:pStyle w:val="Normal"/>
        <w:spacing w:lineRule="auto" w:line="276"/>
        <w:ind w:right="2" w:hanging="0"/>
        <w:jc w:val="center"/>
        <w:rPr>
          <w:color w:val="2D73B4"/>
          <w:sz w:val="24"/>
          <w:szCs w:val="24"/>
        </w:rPr>
      </w:pPr>
      <w:r>
        <w:rPr>
          <w:sz w:val="24"/>
          <w:szCs w:val="24"/>
        </w:rPr>
        <w:t>Diretor(a)</w:t>
      </w:r>
    </w:p>
    <w:p>
      <w:pPr>
        <w:pStyle w:val="Normal"/>
        <w:spacing w:lineRule="auto" w:line="276"/>
        <w:ind w:right="2" w:hanging="0"/>
        <w:jc w:val="center"/>
        <w:rPr>
          <w:sz w:val="24"/>
          <w:szCs w:val="24"/>
        </w:rPr>
      </w:pPr>
      <w:r>
        <w:rPr>
          <w:color w:val="FF0000"/>
          <w:sz w:val="24"/>
          <w:szCs w:val="24"/>
        </w:rPr>
        <w:t>Nome</w:t>
      </w:r>
    </w:p>
    <w:p>
      <w:pPr>
        <w:pStyle w:val="Normal"/>
        <w:spacing w:lineRule="auto" w:line="276"/>
        <w:ind w:right="2" w:hanging="0"/>
        <w:jc w:val="center"/>
        <w:rPr>
          <w:strike/>
          <w:sz w:val="24"/>
          <w:szCs w:val="24"/>
        </w:rPr>
      </w:pPr>
      <w:r>
        <w:rPr>
          <w:sz w:val="24"/>
          <w:szCs w:val="24"/>
        </w:rPr>
        <w:t>Vice-Diretor(a)</w:t>
      </w:r>
    </w:p>
    <w:p>
      <w:pPr>
        <w:pStyle w:val="Normal"/>
        <w:spacing w:lineRule="auto" w:line="276"/>
        <w:ind w:right="2" w:hanging="0"/>
        <w:jc w:val="center"/>
        <w:rPr>
          <w:sz w:val="24"/>
          <w:szCs w:val="24"/>
        </w:rPr>
      </w:pPr>
      <w:r>
        <w:rPr>
          <w:color w:val="FF0000"/>
          <w:sz w:val="24"/>
          <w:szCs w:val="24"/>
        </w:rPr>
        <w:t>Nome</w:t>
      </w:r>
    </w:p>
    <w:p>
      <w:pPr>
        <w:pStyle w:val="Normal"/>
        <w:spacing w:lineRule="auto" w:line="276"/>
        <w:ind w:right="2" w:hanging="0"/>
        <w:jc w:val="center"/>
        <w:rPr>
          <w:sz w:val="24"/>
          <w:szCs w:val="24"/>
        </w:rPr>
      </w:pPr>
      <w:r>
        <w:rPr>
          <w:sz w:val="24"/>
          <w:szCs w:val="24"/>
        </w:rPr>
        <w:t xml:space="preserve">Coordenador(a) do Curso </w:t>
      </w:r>
    </w:p>
    <w:p>
      <w:pPr>
        <w:pStyle w:val="Normal"/>
        <w:spacing w:lineRule="auto" w:line="276"/>
        <w:ind w:right="2" w:hanging="0"/>
        <w:jc w:val="center"/>
        <w:rPr>
          <w:sz w:val="24"/>
          <w:szCs w:val="24"/>
        </w:rPr>
      </w:pPr>
      <w:r>
        <w:rPr>
          <w:color w:val="FF0000"/>
          <w:sz w:val="24"/>
          <w:szCs w:val="24"/>
        </w:rPr>
        <w:t>Nome</w:t>
      </w:r>
    </w:p>
    <w:p>
      <w:pPr>
        <w:pStyle w:val="Normal"/>
        <w:spacing w:lineRule="auto" w:line="276"/>
        <w:ind w:right="2" w:hanging="0"/>
        <w:jc w:val="center"/>
        <w:rPr>
          <w:sz w:val="24"/>
          <w:szCs w:val="24"/>
        </w:rPr>
      </w:pPr>
      <w:r>
        <w:rPr>
          <w:sz w:val="24"/>
          <w:szCs w:val="24"/>
        </w:rPr>
        <w:t xml:space="preserve">Vice-Coordenador(a) do Curso </w:t>
      </w:r>
    </w:p>
    <w:p>
      <w:pPr>
        <w:pStyle w:val="Normal"/>
        <w:spacing w:lineRule="auto" w:line="276"/>
        <w:ind w:right="2" w:hanging="0"/>
        <w:jc w:val="center"/>
        <w:rPr>
          <w:sz w:val="24"/>
          <w:szCs w:val="24"/>
        </w:rPr>
      </w:pPr>
      <w:r>
        <w:rPr>
          <w:color w:val="FF0000"/>
          <w:sz w:val="24"/>
          <w:szCs w:val="24"/>
        </w:rPr>
        <w:t>Nome</w:t>
      </w:r>
    </w:p>
    <w:p>
      <w:pPr>
        <w:pStyle w:val="Normal"/>
        <w:spacing w:lineRule="auto" w:line="276"/>
        <w:ind w:right="2" w:hanging="0"/>
        <w:jc w:val="center"/>
        <w:rPr>
          <w:sz w:val="24"/>
          <w:szCs w:val="24"/>
        </w:rPr>
      </w:pPr>
      <w:r>
        <w:rPr>
          <w:sz w:val="24"/>
          <w:szCs w:val="24"/>
        </w:rPr>
        <w:t xml:space="preserve">Coordenador(a) de Estágio </w:t>
      </w:r>
    </w:p>
    <w:p>
      <w:pPr>
        <w:pStyle w:val="Normal"/>
        <w:spacing w:lineRule="auto" w:line="276"/>
        <w:ind w:right="2" w:hanging="0"/>
        <w:jc w:val="center"/>
        <w:rPr>
          <w:sz w:val="24"/>
          <w:szCs w:val="24"/>
        </w:rPr>
      </w:pPr>
      <w:r>
        <w:rPr>
          <w:color w:val="FF0000"/>
          <w:sz w:val="24"/>
          <w:szCs w:val="24"/>
        </w:rPr>
        <w:t>Nome</w:t>
      </w:r>
    </w:p>
    <w:p>
      <w:pPr>
        <w:pStyle w:val="Normal"/>
        <w:pBdr/>
        <w:spacing w:lineRule="auto" w:line="276"/>
        <w:ind w:right="2" w:hanging="0"/>
        <w:rPr>
          <w:color w:val="000000"/>
          <w:sz w:val="24"/>
          <w:szCs w:val="24"/>
        </w:rPr>
      </w:pPr>
      <w:r>
        <w:rPr>
          <w:color w:val="000000"/>
          <w:sz w:val="24"/>
          <w:szCs w:val="24"/>
        </w:rPr>
      </w:r>
    </w:p>
    <w:p>
      <w:pPr>
        <w:pStyle w:val="Normal"/>
        <w:jc w:val="center"/>
        <w:rPr>
          <w:b/>
          <w:b/>
          <w:bCs/>
          <w:sz w:val="24"/>
          <w:szCs w:val="24"/>
        </w:rPr>
      </w:pPr>
      <w:r>
        <w:rPr>
          <w:b/>
          <w:bCs/>
          <w:sz w:val="24"/>
          <w:szCs w:val="24"/>
        </w:rPr>
        <w:t xml:space="preserve">NÚCLEO DOCENTE ESTRUTURANTE DO CURSO DE </w:t>
      </w:r>
      <w:r>
        <w:rPr>
          <w:b/>
          <w:bCs/>
          <w:color w:val="EE0000"/>
          <w:sz w:val="24"/>
          <w:szCs w:val="24"/>
        </w:rPr>
        <w:t>XXXXX</w:t>
      </w:r>
    </w:p>
    <w:p>
      <w:pPr>
        <w:pStyle w:val="Normal"/>
        <w:spacing w:lineRule="auto" w:line="276"/>
        <w:ind w:right="2" w:hanging="0"/>
        <w:jc w:val="center"/>
        <w:rPr>
          <w:sz w:val="24"/>
          <w:szCs w:val="24"/>
        </w:rPr>
      </w:pPr>
      <w:r>
        <w:rPr>
          <w:sz w:val="24"/>
          <w:szCs w:val="24"/>
        </w:rPr>
        <w:t xml:space="preserve">Presidente </w:t>
      </w:r>
    </w:p>
    <w:p>
      <w:pPr>
        <w:pStyle w:val="Normal"/>
        <w:spacing w:lineRule="auto" w:line="276"/>
        <w:ind w:right="2" w:hanging="0"/>
        <w:jc w:val="center"/>
        <w:rPr>
          <w:color w:val="FF0000"/>
          <w:sz w:val="24"/>
          <w:szCs w:val="24"/>
        </w:rPr>
      </w:pPr>
      <w:r>
        <w:rPr>
          <w:color w:val="FF0000"/>
          <w:sz w:val="24"/>
          <w:szCs w:val="24"/>
        </w:rPr>
        <w:t xml:space="preserve">Nome </w:t>
      </w:r>
    </w:p>
    <w:p>
      <w:pPr>
        <w:pStyle w:val="Normal"/>
        <w:spacing w:lineRule="auto" w:line="276"/>
        <w:ind w:right="2" w:hanging="0"/>
        <w:jc w:val="center"/>
        <w:rPr>
          <w:sz w:val="24"/>
          <w:szCs w:val="24"/>
        </w:rPr>
      </w:pPr>
      <w:r>
        <w:rPr>
          <w:sz w:val="24"/>
          <w:szCs w:val="24"/>
        </w:rPr>
        <w:t xml:space="preserve">Membros </w:t>
      </w:r>
    </w:p>
    <w:p>
      <w:pPr>
        <w:pStyle w:val="Normal"/>
        <w:spacing w:lineRule="auto" w:line="276"/>
        <w:ind w:right="2" w:hanging="0"/>
        <w:jc w:val="center"/>
        <w:rPr>
          <w:color w:val="FF0000"/>
          <w:sz w:val="24"/>
          <w:szCs w:val="24"/>
        </w:rPr>
      </w:pPr>
      <w:r>
        <w:rPr>
          <w:color w:val="FF0000"/>
          <w:sz w:val="24"/>
          <w:szCs w:val="24"/>
        </w:rPr>
        <w:t>Nome</w:t>
      </w:r>
    </w:p>
    <w:p>
      <w:pPr>
        <w:pStyle w:val="Normal"/>
        <w:spacing w:lineRule="auto" w:line="276"/>
        <w:ind w:right="2" w:hanging="0"/>
        <w:jc w:val="center"/>
        <w:rPr>
          <w:color w:val="FF0000"/>
          <w:sz w:val="24"/>
          <w:szCs w:val="24"/>
        </w:rPr>
      </w:pPr>
      <w:r>
        <w:rPr>
          <w:color w:val="FF0000"/>
          <w:sz w:val="24"/>
          <w:szCs w:val="24"/>
        </w:rPr>
        <w:t xml:space="preserve"> </w:t>
      </w:r>
      <w:r>
        <w:rPr>
          <w:color w:val="FF0000"/>
          <w:sz w:val="24"/>
          <w:szCs w:val="24"/>
        </w:rPr>
        <w:t xml:space="preserve">Nome </w:t>
      </w:r>
    </w:p>
    <w:p>
      <w:pPr>
        <w:pStyle w:val="Normal"/>
        <w:spacing w:lineRule="auto" w:line="276"/>
        <w:ind w:right="2" w:hanging="0"/>
        <w:jc w:val="center"/>
        <w:rPr>
          <w:color w:val="FF0000"/>
          <w:sz w:val="24"/>
          <w:szCs w:val="24"/>
        </w:rPr>
      </w:pPr>
      <w:r>
        <w:rPr>
          <w:color w:val="FF0000"/>
          <w:sz w:val="24"/>
          <w:szCs w:val="24"/>
        </w:rPr>
        <w:t xml:space="preserve">Nome </w:t>
      </w:r>
    </w:p>
    <w:p>
      <w:pPr>
        <w:pStyle w:val="Normal"/>
        <w:spacing w:lineRule="auto" w:line="276"/>
        <w:ind w:right="2" w:hanging="0"/>
        <w:jc w:val="center"/>
        <w:rPr>
          <w:sz w:val="24"/>
          <w:szCs w:val="24"/>
        </w:rPr>
      </w:pPr>
      <w:r>
        <w:rPr>
          <w:color w:val="FF0000"/>
          <w:sz w:val="24"/>
          <w:szCs w:val="24"/>
        </w:rPr>
        <w:t>Nome</w:t>
      </w:r>
    </w:p>
    <w:p>
      <w:pPr>
        <w:pStyle w:val="Normal"/>
        <w:pBdr/>
        <w:spacing w:lineRule="auto" w:line="276"/>
        <w:ind w:right="2" w:hanging="0"/>
        <w:jc w:val="center"/>
        <w:rPr>
          <w:color w:val="000000"/>
          <w:sz w:val="24"/>
          <w:szCs w:val="24"/>
        </w:rPr>
      </w:pPr>
      <w:r>
        <w:rPr>
          <w:color w:val="000000"/>
          <w:sz w:val="24"/>
          <w:szCs w:val="24"/>
        </w:rPr>
      </w:r>
    </w:p>
    <w:p>
      <w:pPr>
        <w:pStyle w:val="Normal"/>
        <w:pBdr/>
        <w:spacing w:lineRule="auto" w:line="276"/>
        <w:ind w:right="2" w:hanging="0"/>
        <w:jc w:val="center"/>
        <w:rPr>
          <w:color w:val="000000"/>
          <w:sz w:val="24"/>
          <w:szCs w:val="24"/>
        </w:rPr>
      </w:pPr>
      <w:r>
        <w:rPr>
          <w:color w:val="000000"/>
          <w:sz w:val="24"/>
          <w:szCs w:val="24"/>
        </w:rPr>
      </w:r>
    </w:p>
    <w:p>
      <w:pPr>
        <w:pStyle w:val="Normal"/>
        <w:pBdr/>
        <w:spacing w:lineRule="auto" w:line="276"/>
        <w:ind w:right="2" w:hanging="0"/>
        <w:jc w:val="center"/>
        <w:rPr>
          <w:color w:val="000000"/>
          <w:sz w:val="24"/>
          <w:szCs w:val="24"/>
        </w:rPr>
      </w:pPr>
      <w:r>
        <w:rPr>
          <w:color w:val="000000"/>
          <w:sz w:val="24"/>
          <w:szCs w:val="24"/>
        </w:rPr>
      </w:r>
    </w:p>
    <w:p>
      <w:pPr>
        <w:pStyle w:val="Normal"/>
        <w:pBdr/>
        <w:spacing w:lineRule="auto" w:line="276"/>
        <w:ind w:right="2" w:hanging="0"/>
        <w:jc w:val="center"/>
        <w:rPr>
          <w:color w:val="000000"/>
          <w:sz w:val="24"/>
          <w:szCs w:val="24"/>
        </w:rPr>
      </w:pPr>
      <w:r>
        <w:rPr>
          <w:color w:val="000000"/>
          <w:sz w:val="24"/>
          <w:szCs w:val="24"/>
        </w:rPr>
      </w:r>
    </w:p>
    <w:p>
      <w:pPr>
        <w:pStyle w:val="Normal"/>
        <w:pBdr/>
        <w:spacing w:lineRule="auto" w:line="360"/>
        <w:ind w:right="2" w:hanging="0"/>
        <w:jc w:val="center"/>
        <w:rPr>
          <w:color w:val="000000"/>
          <w:sz w:val="24"/>
          <w:szCs w:val="24"/>
        </w:rPr>
      </w:pPr>
      <w:r>
        <w:rPr>
          <w:color w:val="000000"/>
          <w:sz w:val="24"/>
          <w:szCs w:val="24"/>
        </w:rPr>
      </w:r>
    </w:p>
    <w:p>
      <w:pPr>
        <w:pStyle w:val="Normal"/>
        <w:pBdr/>
        <w:spacing w:lineRule="auto" w:line="360"/>
        <w:ind w:right="2" w:hanging="0"/>
        <w:jc w:val="center"/>
        <w:rPr>
          <w:color w:val="000000"/>
          <w:sz w:val="24"/>
          <w:szCs w:val="24"/>
        </w:rPr>
      </w:pPr>
      <w:r>
        <w:rPr>
          <w:color w:val="000000"/>
          <w:sz w:val="24"/>
          <w:szCs w:val="24"/>
        </w:rPr>
      </w:r>
    </w:p>
    <w:p>
      <w:pPr>
        <w:pStyle w:val="Normal"/>
        <w:pBdr/>
        <w:spacing w:lineRule="auto" w:line="360"/>
        <w:ind w:right="2" w:hanging="0"/>
        <w:jc w:val="center"/>
        <w:rPr>
          <w:color w:val="000000"/>
          <w:sz w:val="24"/>
          <w:szCs w:val="24"/>
        </w:rPr>
      </w:pPr>
      <w:r>
        <w:rPr>
          <w:color w:val="000000"/>
          <w:sz w:val="24"/>
          <w:szCs w:val="24"/>
        </w:rPr>
      </w:r>
    </w:p>
    <w:p>
      <w:pPr>
        <w:pStyle w:val="Normal"/>
        <w:pBdr/>
        <w:spacing w:lineRule="auto" w:line="360"/>
        <w:ind w:right="2" w:hanging="0"/>
        <w:jc w:val="center"/>
        <w:rPr>
          <w:color w:val="000000"/>
          <w:sz w:val="24"/>
          <w:szCs w:val="24"/>
        </w:rPr>
      </w:pPr>
      <w:r>
        <w:rPr>
          <w:color w:val="000000"/>
          <w:sz w:val="24"/>
          <w:szCs w:val="24"/>
        </w:rPr>
      </w:r>
    </w:p>
    <w:p>
      <w:pPr>
        <w:pStyle w:val="Normal"/>
        <w:pBdr/>
        <w:spacing w:lineRule="auto" w:line="360"/>
        <w:ind w:right="2" w:hanging="0"/>
        <w:jc w:val="center"/>
        <w:rPr>
          <w:color w:val="000000"/>
          <w:sz w:val="24"/>
          <w:szCs w:val="24"/>
        </w:rPr>
      </w:pPr>
      <w:r>
        <w:rPr>
          <w:color w:val="000000"/>
          <w:sz w:val="24"/>
          <w:szCs w:val="24"/>
        </w:rPr>
      </w:r>
    </w:p>
    <w:p>
      <w:pPr>
        <w:pStyle w:val="Normal"/>
        <w:spacing w:lineRule="auto" w:line="360"/>
        <w:ind w:right="2" w:hanging="0"/>
        <w:jc w:val="center"/>
        <w:rPr>
          <w:b/>
          <w:b/>
          <w:sz w:val="24"/>
          <w:szCs w:val="24"/>
        </w:rPr>
      </w:pPr>
      <w:r>
        <w:rPr>
          <w:b/>
          <w:sz w:val="24"/>
          <w:szCs w:val="24"/>
        </w:rPr>
        <w:t xml:space="preserve">JATAÍ - GO </w:t>
      </w:r>
    </w:p>
    <w:p>
      <w:pPr>
        <w:pStyle w:val="Normal"/>
        <w:spacing w:lineRule="auto" w:line="360"/>
        <w:ind w:right="2" w:hanging="0"/>
        <w:jc w:val="center"/>
        <w:rPr>
          <w:b/>
          <w:b/>
          <w:sz w:val="24"/>
          <w:szCs w:val="24"/>
        </w:rPr>
      </w:pPr>
      <w:r>
        <w:rPr>
          <w:b/>
          <w:color w:val="FF0000"/>
          <w:sz w:val="24"/>
          <w:szCs w:val="24"/>
        </w:rPr>
        <w:t>ANO</w:t>
      </w:r>
    </w:p>
    <w:p>
      <w:pPr>
        <w:sectPr>
          <w:headerReference w:type="even" r:id="rId2"/>
          <w:headerReference w:type="default" r:id="rId3"/>
          <w:headerReference w:type="first" r:id="rId4"/>
          <w:type w:val="nextPage"/>
          <w:pgSz w:w="11906" w:h="16838"/>
          <w:pgMar w:left="580" w:right="980" w:gutter="0" w:header="720" w:top="1180" w:footer="0" w:bottom="280"/>
          <w:pgNumType w:fmt="decimal"/>
          <w:formProt w:val="false"/>
          <w:textDirection w:val="lrTb"/>
          <w:docGrid w:type="default" w:linePitch="100" w:charSpace="0"/>
        </w:sectPr>
      </w:pPr>
    </w:p>
    <w:sdt>
      <w:sdtPr>
        <w:docPartObj>
          <w:docPartGallery w:val="Table of Contents"/>
          <w:docPartUnique w:val="true"/>
        </w:docPartObj>
      </w:sdtPr>
      <w:sdtContent>
        <w:p>
          <w:pPr>
            <w:pStyle w:val="Ttulodosumrio"/>
            <w:rPr>
              <w:rFonts w:ascii="Times New Roman" w:hAnsi="Times New Roman" w:cs="Times New Roman"/>
              <w:color w:val="auto"/>
              <w:sz w:val="24"/>
              <w:szCs w:val="24"/>
            </w:rPr>
          </w:pPr>
          <w:r>
            <w:rPr>
              <w:rFonts w:cs="Times New Roman" w:ascii="Times New Roman" w:hAnsi="Times New Roman"/>
              <w:color w:val="auto"/>
              <w:sz w:val="24"/>
              <w:szCs w:val="24"/>
            </w:rPr>
            <w:t>SUMÁRIO</w:t>
          </w:r>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r>
            <w:fldChar w:fldCharType="begin"/>
          </w:r>
          <w:r>
            <w:rPr>
              <w:webHidden/>
              <w:rStyle w:val="Vnculodendice"/>
              <w:sz w:val="24"/>
              <w:szCs w:val="24"/>
              <w:rFonts w:cs="Times New Roman" w:ascii="Times New Roman" w:hAnsi="Times New Roman"/>
            </w:rPr>
            <w:instrText> TOC \z \o "1-3" \u \h</w:instrText>
          </w:r>
          <w:r>
            <w:rPr>
              <w:webHidden/>
              <w:rStyle w:val="Vnculodendice"/>
              <w:sz w:val="24"/>
              <w:szCs w:val="24"/>
              <w:rFonts w:cs="Times New Roman" w:ascii="Times New Roman" w:hAnsi="Times New Roman"/>
            </w:rPr>
            <w:fldChar w:fldCharType="separate"/>
          </w:r>
          <w:hyperlink w:anchor="_Toc229667173">
            <w:r>
              <w:rPr>
                <w:webHidden/>
                <w:rStyle w:val="Vnculodendice"/>
                <w:rFonts w:cs="Times New Roman" w:ascii="Times New Roman" w:hAnsi="Times New Roman"/>
                <w:sz w:val="24"/>
                <w:szCs w:val="24"/>
              </w:rPr>
              <w:t>1 INTRODUÇÃO</w:t>
            </w:r>
            <w:r>
              <w:rPr>
                <w:webHidden/>
              </w:rPr>
              <w:fldChar w:fldCharType="begin"/>
            </w:r>
            <w:r>
              <w:rPr>
                <w:webHidden/>
              </w:rPr>
              <w:instrText>PAGEREF _Toc229667173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174">
            <w:r>
              <w:rPr>
                <w:webHidden/>
                <w:rStyle w:val="Vnculodendice"/>
                <w:rFonts w:cs="Times New Roman" w:ascii="Times New Roman" w:hAnsi="Times New Roman"/>
                <w:sz w:val="24"/>
                <w:szCs w:val="24"/>
              </w:rPr>
              <w:t>2 APRESENTAÇÃO DO CURSO</w:t>
            </w:r>
            <w:r>
              <w:rPr>
                <w:webHidden/>
              </w:rPr>
              <w:fldChar w:fldCharType="begin"/>
            </w:r>
            <w:r>
              <w:rPr>
                <w:webHidden/>
              </w:rPr>
              <w:instrText>PAGEREF _Toc229667174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75">
            <w:r>
              <w:rPr>
                <w:webHidden/>
                <w:rStyle w:val="Vnculodendice"/>
                <w:rFonts w:cs="Times New Roman" w:ascii="Times New Roman" w:hAnsi="Times New Roman"/>
                <w:sz w:val="24"/>
                <w:szCs w:val="24"/>
              </w:rPr>
              <w:t>2.1 Denominação do curso</w:t>
            </w:r>
            <w:r>
              <w:rPr>
                <w:webHidden/>
              </w:rPr>
              <w:fldChar w:fldCharType="begin"/>
            </w:r>
            <w:r>
              <w:rPr>
                <w:webHidden/>
              </w:rPr>
              <w:instrText>PAGEREF _Toc229667175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76">
            <w:r>
              <w:rPr>
                <w:webHidden/>
                <w:rStyle w:val="Vnculodendice"/>
                <w:rFonts w:cs="Times New Roman" w:ascii="Times New Roman" w:hAnsi="Times New Roman"/>
                <w:sz w:val="24"/>
                <w:szCs w:val="24"/>
              </w:rPr>
              <w:t>2.2 Grau</w:t>
            </w:r>
            <w:r>
              <w:rPr>
                <w:webHidden/>
              </w:rPr>
              <w:fldChar w:fldCharType="begin"/>
            </w:r>
            <w:r>
              <w:rPr>
                <w:webHidden/>
              </w:rPr>
              <w:instrText>PAGEREF _Toc229667176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77">
            <w:r>
              <w:rPr>
                <w:webHidden/>
                <w:rStyle w:val="Vnculodendice"/>
                <w:rFonts w:cs="Times New Roman" w:ascii="Times New Roman" w:hAnsi="Times New Roman"/>
                <w:sz w:val="24"/>
                <w:szCs w:val="24"/>
              </w:rPr>
              <w:t>2.3 Licenciado em xxx</w:t>
            </w:r>
            <w:r>
              <w:rPr>
                <w:webHidden/>
              </w:rPr>
              <w:fldChar w:fldCharType="begin"/>
            </w:r>
            <w:r>
              <w:rPr>
                <w:webHidden/>
              </w:rPr>
              <w:instrText>PAGEREF _Toc229667177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78">
            <w:r>
              <w:rPr>
                <w:webHidden/>
                <w:rStyle w:val="Vnculodendice"/>
                <w:rFonts w:cs="Times New Roman" w:ascii="Times New Roman" w:hAnsi="Times New Roman"/>
                <w:sz w:val="24"/>
                <w:szCs w:val="24"/>
              </w:rPr>
              <w:t>2.4 Código no e-MEC</w:t>
            </w:r>
            <w:r>
              <w:rPr>
                <w:webHidden/>
              </w:rPr>
              <w:fldChar w:fldCharType="begin"/>
            </w:r>
            <w:r>
              <w:rPr>
                <w:webHidden/>
              </w:rPr>
              <w:instrText>PAGEREF _Toc229667178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79">
            <w:r>
              <w:rPr>
                <w:webHidden/>
                <w:rStyle w:val="Vnculodendice"/>
                <w:rFonts w:cs="Times New Roman" w:ascii="Times New Roman" w:hAnsi="Times New Roman"/>
                <w:sz w:val="24"/>
                <w:szCs w:val="24"/>
              </w:rPr>
              <w:t>2.5 Modalidade</w:t>
            </w:r>
            <w:r>
              <w:rPr>
                <w:webHidden/>
              </w:rPr>
              <w:fldChar w:fldCharType="begin"/>
            </w:r>
            <w:r>
              <w:rPr>
                <w:webHidden/>
              </w:rPr>
              <w:instrText>PAGEREF _Toc229667179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0">
            <w:r>
              <w:rPr>
                <w:webHidden/>
                <w:rStyle w:val="Vnculodendice"/>
                <w:rFonts w:cs="Times New Roman" w:ascii="Times New Roman" w:hAnsi="Times New Roman"/>
                <w:sz w:val="24"/>
                <w:szCs w:val="24"/>
              </w:rPr>
              <w:t>2.6 Área de conhecimento</w:t>
            </w:r>
            <w:r>
              <w:rPr>
                <w:webHidden/>
              </w:rPr>
              <w:fldChar w:fldCharType="begin"/>
            </w:r>
            <w:r>
              <w:rPr>
                <w:webHidden/>
              </w:rPr>
              <w:instrText>PAGEREF _Toc229667180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1">
            <w:r>
              <w:rPr>
                <w:webHidden/>
                <w:rStyle w:val="Vnculodendice"/>
                <w:rFonts w:cs="Times New Roman" w:ascii="Times New Roman" w:hAnsi="Times New Roman"/>
                <w:sz w:val="24"/>
                <w:szCs w:val="24"/>
              </w:rPr>
              <w:t>2.7 Unidade acadêmica responsável</w:t>
            </w:r>
            <w:r>
              <w:rPr>
                <w:webHidden/>
              </w:rPr>
              <w:fldChar w:fldCharType="begin"/>
            </w:r>
            <w:r>
              <w:rPr>
                <w:webHidden/>
              </w:rPr>
              <w:instrText>PAGEREF _Toc229667181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2">
            <w:r>
              <w:rPr>
                <w:webHidden/>
                <w:rStyle w:val="Vnculodendice"/>
                <w:rFonts w:eastAsia="" w:cs="Times New Roman" w:ascii="Times New Roman" w:hAnsi="Times New Roman" w:eastAsiaTheme="majorEastAsia"/>
                <w:sz w:val="24"/>
                <w:szCs w:val="24"/>
              </w:rPr>
              <w:t>2.8 Carga horária total</w:t>
            </w:r>
            <w:r>
              <w:rPr>
                <w:webHidden/>
              </w:rPr>
              <w:fldChar w:fldCharType="begin"/>
            </w:r>
            <w:r>
              <w:rPr>
                <w:webHidden/>
              </w:rPr>
              <w:instrText>PAGEREF _Toc229667182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3">
            <w:r>
              <w:rPr>
                <w:webHidden/>
                <w:rStyle w:val="Vnculodendice"/>
                <w:rFonts w:cs="Times New Roman" w:ascii="Times New Roman" w:hAnsi="Times New Roman"/>
                <w:sz w:val="24"/>
                <w:szCs w:val="24"/>
              </w:rPr>
              <w:t>2.9 Número de vagas anuais</w:t>
            </w:r>
            <w:r>
              <w:rPr>
                <w:webHidden/>
              </w:rPr>
              <w:fldChar w:fldCharType="begin"/>
            </w:r>
            <w:r>
              <w:rPr>
                <w:webHidden/>
              </w:rPr>
              <w:instrText>PAGEREF _Toc229667183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4">
            <w:r>
              <w:rPr>
                <w:webHidden/>
                <w:rStyle w:val="Vnculodendice"/>
                <w:rFonts w:cs="Times New Roman" w:ascii="Times New Roman" w:hAnsi="Times New Roman"/>
                <w:sz w:val="24"/>
                <w:szCs w:val="24"/>
              </w:rPr>
              <w:t>2.10 Turno de oferta</w:t>
            </w:r>
            <w:r>
              <w:rPr>
                <w:webHidden/>
              </w:rPr>
              <w:fldChar w:fldCharType="begin"/>
            </w:r>
            <w:r>
              <w:rPr>
                <w:webHidden/>
              </w:rPr>
              <w:instrText>PAGEREF _Toc229667184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5">
            <w:r>
              <w:rPr>
                <w:webHidden/>
                <w:rStyle w:val="Vnculodendice"/>
                <w:rFonts w:eastAsia="" w:cs="Times New Roman" w:ascii="Times New Roman" w:hAnsi="Times New Roman" w:eastAsiaTheme="majorEastAsia"/>
                <w:sz w:val="24"/>
                <w:szCs w:val="24"/>
              </w:rPr>
              <w:t>2.11 Tempo mínimo e máximo de integralização</w:t>
            </w:r>
            <w:r>
              <w:rPr>
                <w:webHidden/>
              </w:rPr>
              <w:fldChar w:fldCharType="begin"/>
            </w:r>
            <w:r>
              <w:rPr>
                <w:webHidden/>
              </w:rPr>
              <w:instrText>PAGEREF _Toc229667185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6">
            <w:r>
              <w:rPr>
                <w:webHidden/>
                <w:rStyle w:val="Vnculodendice"/>
                <w:rFonts w:cs="Times New Roman" w:ascii="Times New Roman" w:hAnsi="Times New Roman"/>
                <w:sz w:val="24"/>
                <w:szCs w:val="24"/>
              </w:rPr>
              <w:t>2.12 Atos autorizativos do curso</w:t>
            </w:r>
            <w:r>
              <w:rPr>
                <w:webHidden/>
              </w:rPr>
              <w:fldChar w:fldCharType="begin"/>
            </w:r>
            <w:r>
              <w:rPr>
                <w:webHidden/>
              </w:rPr>
              <w:instrText>PAGEREF _Toc229667186 \h</w:instrText>
            </w:r>
            <w:r>
              <w:rPr>
                <w:webHidden/>
              </w:rPr>
              <w:fldChar w:fldCharType="separate"/>
            </w:r>
            <w:r>
              <w:rPr>
                <w:rStyle w:val="Vnculodendice"/>
                <w:rFonts w:cs="Times New Roman" w:ascii="Times New Roman" w:hAnsi="Times New Roman"/>
                <w:vanish w:val="false"/>
                <w:sz w:val="24"/>
                <w:szCs w:val="24"/>
              </w:rPr>
              <w:tab/>
              <w:t>5</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187">
            <w:r>
              <w:rPr>
                <w:webHidden/>
                <w:rStyle w:val="Vnculodendice"/>
                <w:rFonts w:cs="Times New Roman" w:ascii="Times New Roman" w:hAnsi="Times New Roman"/>
                <w:sz w:val="24"/>
                <w:szCs w:val="24"/>
              </w:rPr>
              <w:t>3 HISTÓRICO, CONTEXTUALIZAÇÃO INSTITUCIONAL E JUSTIFICATIVA</w:t>
            </w:r>
            <w:r>
              <w:rPr>
                <w:webHidden/>
              </w:rPr>
              <w:fldChar w:fldCharType="begin"/>
            </w:r>
            <w:r>
              <w:rPr>
                <w:webHidden/>
              </w:rPr>
              <w:instrText>PAGEREF _Toc229667187 \h</w:instrText>
            </w:r>
            <w:r>
              <w:rPr>
                <w:webHidden/>
              </w:rPr>
              <w:fldChar w:fldCharType="separate"/>
            </w:r>
            <w:r>
              <w:rPr>
                <w:rStyle w:val="Vnculodendice"/>
                <w:rFonts w:cs="Times New Roman" w:ascii="Times New Roman" w:hAnsi="Times New Roman"/>
                <w:vanish w:val="false"/>
                <w:sz w:val="24"/>
                <w:szCs w:val="24"/>
              </w:rPr>
              <w:tab/>
              <w:t>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8">
            <w:r>
              <w:rPr>
                <w:webHidden/>
                <w:rStyle w:val="Vnculodendice"/>
                <w:rFonts w:cs="Times New Roman" w:ascii="Times New Roman" w:hAnsi="Times New Roman"/>
                <w:sz w:val="24"/>
                <w:szCs w:val="24"/>
              </w:rPr>
              <w:t>3.1 Histórico do curso</w:t>
            </w:r>
            <w:r>
              <w:rPr>
                <w:webHidden/>
              </w:rPr>
              <w:fldChar w:fldCharType="begin"/>
            </w:r>
            <w:r>
              <w:rPr>
                <w:webHidden/>
              </w:rPr>
              <w:instrText>PAGEREF _Toc229667188 \h</w:instrText>
            </w:r>
            <w:r>
              <w:rPr>
                <w:webHidden/>
              </w:rPr>
              <w:fldChar w:fldCharType="separate"/>
            </w:r>
            <w:r>
              <w:rPr>
                <w:rStyle w:val="Vnculodendice"/>
                <w:rFonts w:cs="Times New Roman" w:ascii="Times New Roman" w:hAnsi="Times New Roman"/>
                <w:vanish w:val="false"/>
                <w:sz w:val="24"/>
                <w:szCs w:val="24"/>
              </w:rPr>
              <w:tab/>
              <w:t>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89">
            <w:r>
              <w:rPr>
                <w:webHidden/>
                <w:rStyle w:val="Vnculodendice"/>
                <w:rFonts w:cs="Times New Roman" w:ascii="Times New Roman" w:hAnsi="Times New Roman"/>
                <w:sz w:val="24"/>
                <w:szCs w:val="24"/>
              </w:rPr>
              <w:t>3.2 Contextualização institucional</w:t>
            </w:r>
            <w:r>
              <w:rPr>
                <w:webHidden/>
              </w:rPr>
              <w:fldChar w:fldCharType="begin"/>
            </w:r>
            <w:r>
              <w:rPr>
                <w:webHidden/>
              </w:rPr>
              <w:instrText>PAGEREF _Toc229667189 \h</w:instrText>
            </w:r>
            <w:r>
              <w:rPr>
                <w:webHidden/>
              </w:rPr>
              <w:fldChar w:fldCharType="separate"/>
            </w:r>
            <w:r>
              <w:rPr>
                <w:rStyle w:val="Vnculodendice"/>
                <w:rFonts w:cs="Times New Roman" w:ascii="Times New Roman" w:hAnsi="Times New Roman"/>
                <w:vanish w:val="false"/>
                <w:sz w:val="24"/>
                <w:szCs w:val="24"/>
              </w:rPr>
              <w:tab/>
              <w:t>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0">
            <w:r>
              <w:rPr>
                <w:webHidden/>
                <w:rStyle w:val="Vnculodendice"/>
                <w:rFonts w:cs="Times New Roman" w:ascii="Times New Roman" w:hAnsi="Times New Roman"/>
                <w:sz w:val="24"/>
                <w:szCs w:val="24"/>
              </w:rPr>
              <w:t>3.3 Marco motivacional</w:t>
            </w:r>
            <w:r>
              <w:rPr>
                <w:webHidden/>
              </w:rPr>
              <w:fldChar w:fldCharType="begin"/>
            </w:r>
            <w:r>
              <w:rPr>
                <w:webHidden/>
              </w:rPr>
              <w:instrText>PAGEREF _Toc229667190 \h</w:instrText>
            </w:r>
            <w:r>
              <w:rPr>
                <w:webHidden/>
              </w:rPr>
              <w:fldChar w:fldCharType="separate"/>
            </w:r>
            <w:r>
              <w:rPr>
                <w:rStyle w:val="Vnculodendice"/>
                <w:rFonts w:cs="Times New Roman" w:ascii="Times New Roman" w:hAnsi="Times New Roman"/>
                <w:vanish w:val="false"/>
                <w:sz w:val="24"/>
                <w:szCs w:val="24"/>
              </w:rPr>
              <w:tab/>
              <w:t>7</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191">
            <w:r>
              <w:rPr>
                <w:webHidden/>
                <w:rStyle w:val="Vnculodendice"/>
                <w:rFonts w:cs="Times New Roman" w:ascii="Times New Roman" w:hAnsi="Times New Roman"/>
                <w:sz w:val="24"/>
                <w:szCs w:val="24"/>
              </w:rPr>
              <w:t>4 PRINCIPIOS NORTEADORES PARA A FORMAÇÃO PROFISSIONAL</w:t>
            </w:r>
            <w:r>
              <w:rPr>
                <w:webHidden/>
              </w:rPr>
              <w:fldChar w:fldCharType="begin"/>
            </w:r>
            <w:r>
              <w:rPr>
                <w:webHidden/>
              </w:rPr>
              <w:instrText>PAGEREF _Toc229667191 \h</w:instrText>
            </w:r>
            <w:r>
              <w:rPr>
                <w:webHidden/>
              </w:rPr>
              <w:fldChar w:fldCharType="separate"/>
            </w:r>
            <w:r>
              <w:rPr>
                <w:rStyle w:val="Vnculodendice"/>
                <w:rFonts w:cs="Times New Roman" w:ascii="Times New Roman" w:hAnsi="Times New Roman"/>
                <w:vanish w:val="false"/>
                <w:sz w:val="24"/>
                <w:szCs w:val="24"/>
              </w:rPr>
              <w:tab/>
              <w:t>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2">
            <w:r>
              <w:rPr>
                <w:webHidden/>
                <w:rStyle w:val="Vnculodendice"/>
                <w:rFonts w:cs="Times New Roman" w:ascii="Times New Roman" w:hAnsi="Times New Roman"/>
                <w:sz w:val="24"/>
                <w:szCs w:val="24"/>
              </w:rPr>
              <w:t>4.1 Marco referencial</w:t>
            </w:r>
            <w:r>
              <w:rPr>
                <w:webHidden/>
              </w:rPr>
              <w:fldChar w:fldCharType="begin"/>
            </w:r>
            <w:r>
              <w:rPr>
                <w:webHidden/>
              </w:rPr>
              <w:instrText>PAGEREF _Toc229667192 \h</w:instrText>
            </w:r>
            <w:r>
              <w:rPr>
                <w:webHidden/>
              </w:rPr>
              <w:fldChar w:fldCharType="separate"/>
            </w:r>
            <w:r>
              <w:rPr>
                <w:rStyle w:val="Vnculodendice"/>
                <w:rFonts w:cs="Times New Roman" w:ascii="Times New Roman" w:hAnsi="Times New Roman"/>
                <w:vanish w:val="false"/>
                <w:sz w:val="24"/>
                <w:szCs w:val="24"/>
              </w:rPr>
              <w:tab/>
              <w:t>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3">
            <w:r>
              <w:rPr>
                <w:webHidden/>
                <w:rStyle w:val="Vnculodendice"/>
                <w:rFonts w:cs="Times New Roman" w:ascii="Times New Roman" w:hAnsi="Times New Roman"/>
                <w:sz w:val="24"/>
                <w:szCs w:val="24"/>
              </w:rPr>
              <w:t>4.2 Marco operativo</w:t>
            </w:r>
            <w:r>
              <w:rPr>
                <w:webHidden/>
              </w:rPr>
              <w:fldChar w:fldCharType="begin"/>
            </w:r>
            <w:r>
              <w:rPr>
                <w:webHidden/>
              </w:rPr>
              <w:instrText>PAGEREF _Toc229667193 \h</w:instrText>
            </w:r>
            <w:r>
              <w:rPr>
                <w:webHidden/>
              </w:rPr>
              <w:fldChar w:fldCharType="separate"/>
            </w:r>
            <w:r>
              <w:rPr>
                <w:rStyle w:val="Vnculodendice"/>
                <w:rFonts w:cs="Times New Roman" w:ascii="Times New Roman" w:hAnsi="Times New Roman"/>
                <w:vanish w:val="false"/>
                <w:sz w:val="24"/>
                <w:szCs w:val="24"/>
              </w:rPr>
              <w:tab/>
              <w:t>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4">
            <w:r>
              <w:rPr>
                <w:webHidden/>
                <w:rStyle w:val="Vnculodendice"/>
                <w:rFonts w:cs="Times New Roman" w:ascii="Times New Roman" w:hAnsi="Times New Roman"/>
                <w:sz w:val="24"/>
                <w:szCs w:val="24"/>
              </w:rPr>
              <w:t>4.3 Prática profissional</w:t>
            </w:r>
            <w:r>
              <w:rPr>
                <w:webHidden/>
              </w:rPr>
              <w:fldChar w:fldCharType="begin"/>
            </w:r>
            <w:r>
              <w:rPr>
                <w:webHidden/>
              </w:rPr>
              <w:instrText>PAGEREF _Toc229667194 \h</w:instrText>
            </w:r>
            <w:r>
              <w:rPr>
                <w:webHidden/>
              </w:rPr>
              <w:fldChar w:fldCharType="separate"/>
            </w:r>
            <w:r>
              <w:rPr>
                <w:rStyle w:val="Vnculodendice"/>
                <w:rFonts w:cs="Times New Roman" w:ascii="Times New Roman" w:hAnsi="Times New Roman"/>
                <w:vanish w:val="false"/>
                <w:sz w:val="24"/>
                <w:szCs w:val="24"/>
              </w:rPr>
              <w:tab/>
              <w:t>9</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5">
            <w:r>
              <w:rPr>
                <w:webHidden/>
                <w:rStyle w:val="Vnculodendice"/>
                <w:rFonts w:cs="Times New Roman" w:ascii="Times New Roman" w:hAnsi="Times New Roman"/>
                <w:sz w:val="24"/>
                <w:szCs w:val="24"/>
              </w:rPr>
              <w:t>4.4 Articulação entre teoria e prática</w:t>
            </w:r>
            <w:r>
              <w:rPr>
                <w:webHidden/>
              </w:rPr>
              <w:fldChar w:fldCharType="begin"/>
            </w:r>
            <w:r>
              <w:rPr>
                <w:webHidden/>
              </w:rPr>
              <w:instrText>PAGEREF _Toc229667195 \h</w:instrText>
            </w:r>
            <w:r>
              <w:rPr>
                <w:webHidden/>
              </w:rPr>
              <w:fldChar w:fldCharType="separate"/>
            </w:r>
            <w:r>
              <w:rPr>
                <w:rStyle w:val="Vnculodendice"/>
                <w:rFonts w:cs="Times New Roman" w:ascii="Times New Roman" w:hAnsi="Times New Roman"/>
                <w:vanish w:val="false"/>
                <w:sz w:val="24"/>
                <w:szCs w:val="24"/>
              </w:rPr>
              <w:tab/>
              <w:t>10</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6">
            <w:r>
              <w:rPr>
                <w:webHidden/>
                <w:rStyle w:val="Vnculodendice"/>
                <w:rFonts w:cs="Times New Roman" w:ascii="Times New Roman" w:hAnsi="Times New Roman"/>
                <w:sz w:val="24"/>
                <w:szCs w:val="24"/>
              </w:rPr>
              <w:t>4.5 Formação ética do profissional</w:t>
            </w:r>
            <w:r>
              <w:rPr>
                <w:webHidden/>
              </w:rPr>
              <w:fldChar w:fldCharType="begin"/>
            </w:r>
            <w:r>
              <w:rPr>
                <w:webHidden/>
              </w:rPr>
              <w:instrText>PAGEREF _Toc229667196 \h</w:instrText>
            </w:r>
            <w:r>
              <w:rPr>
                <w:webHidden/>
              </w:rPr>
              <w:fldChar w:fldCharType="separate"/>
            </w:r>
            <w:r>
              <w:rPr>
                <w:rStyle w:val="Vnculodendice"/>
                <w:rFonts w:cs="Times New Roman" w:ascii="Times New Roman" w:hAnsi="Times New Roman"/>
                <w:vanish w:val="false"/>
                <w:sz w:val="24"/>
                <w:szCs w:val="24"/>
              </w:rPr>
              <w:tab/>
              <w:t>10</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7">
            <w:r>
              <w:rPr>
                <w:webHidden/>
                <w:rStyle w:val="Vnculodendice"/>
                <w:rFonts w:cs="Times New Roman" w:ascii="Times New Roman" w:hAnsi="Times New Roman"/>
                <w:sz w:val="24"/>
                <w:szCs w:val="24"/>
              </w:rPr>
              <w:t>4.6 Inserção social</w:t>
            </w:r>
            <w:r>
              <w:rPr>
                <w:webHidden/>
              </w:rPr>
              <w:fldChar w:fldCharType="begin"/>
            </w:r>
            <w:r>
              <w:rPr>
                <w:webHidden/>
              </w:rPr>
              <w:instrText>PAGEREF _Toc229667197 \h</w:instrText>
            </w:r>
            <w:r>
              <w:rPr>
                <w:webHidden/>
              </w:rPr>
              <w:fldChar w:fldCharType="separate"/>
            </w:r>
            <w:r>
              <w:rPr>
                <w:rStyle w:val="Vnculodendice"/>
                <w:rFonts w:cs="Times New Roman" w:ascii="Times New Roman" w:hAnsi="Times New Roman"/>
                <w:vanish w:val="false"/>
                <w:sz w:val="24"/>
                <w:szCs w:val="24"/>
              </w:rPr>
              <w:tab/>
              <w:t>10</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8">
            <w:r>
              <w:rPr>
                <w:webHidden/>
                <w:rStyle w:val="Vnculodendice"/>
                <w:rFonts w:cs="Times New Roman" w:ascii="Times New Roman" w:hAnsi="Times New Roman"/>
                <w:sz w:val="24"/>
                <w:szCs w:val="24"/>
              </w:rPr>
              <w:t>4.7 Interdisciplinaridade</w:t>
            </w:r>
            <w:r>
              <w:rPr>
                <w:webHidden/>
              </w:rPr>
              <w:fldChar w:fldCharType="begin"/>
            </w:r>
            <w:r>
              <w:rPr>
                <w:webHidden/>
              </w:rPr>
              <w:instrText>PAGEREF _Toc229667198 \h</w:instrText>
            </w:r>
            <w:r>
              <w:rPr>
                <w:webHidden/>
              </w:rPr>
              <w:fldChar w:fldCharType="separate"/>
            </w:r>
            <w:r>
              <w:rPr>
                <w:rStyle w:val="Vnculodendice"/>
                <w:rFonts w:cs="Times New Roman" w:ascii="Times New Roman" w:hAnsi="Times New Roman"/>
                <w:vanish w:val="false"/>
                <w:sz w:val="24"/>
                <w:szCs w:val="24"/>
              </w:rPr>
              <w:tab/>
              <w:t>11</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199">
            <w:r>
              <w:rPr>
                <w:webHidden/>
                <w:rStyle w:val="Vnculodendice"/>
                <w:rFonts w:cs="Times New Roman" w:ascii="Times New Roman" w:hAnsi="Times New Roman"/>
                <w:sz w:val="24"/>
                <w:szCs w:val="24"/>
              </w:rPr>
              <w:t>4.8 Integração ensino, pesquisa e extensão</w:t>
            </w:r>
            <w:r>
              <w:rPr>
                <w:webHidden/>
              </w:rPr>
              <w:fldChar w:fldCharType="begin"/>
            </w:r>
            <w:r>
              <w:rPr>
                <w:webHidden/>
              </w:rPr>
              <w:instrText>PAGEREF _Toc229667199 \h</w:instrText>
            </w:r>
            <w:r>
              <w:rPr>
                <w:webHidden/>
              </w:rPr>
              <w:fldChar w:fldCharType="separate"/>
            </w:r>
            <w:r>
              <w:rPr>
                <w:rStyle w:val="Vnculodendice"/>
                <w:rFonts w:cs="Times New Roman" w:ascii="Times New Roman" w:hAnsi="Times New Roman"/>
                <w:vanish w:val="false"/>
                <w:sz w:val="24"/>
                <w:szCs w:val="24"/>
              </w:rPr>
              <w:tab/>
              <w:t>11</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0">
            <w:r>
              <w:rPr>
                <w:webHidden/>
                <w:rStyle w:val="Vnculodendice"/>
                <w:rFonts w:cs="Times New Roman" w:ascii="Times New Roman" w:hAnsi="Times New Roman"/>
                <w:sz w:val="24"/>
                <w:szCs w:val="24"/>
              </w:rPr>
              <w:t>4.9 Atividades acadêmicas articuladas ao ensino de graduação</w:t>
            </w:r>
            <w:r>
              <w:rPr>
                <w:webHidden/>
              </w:rPr>
              <w:fldChar w:fldCharType="begin"/>
            </w:r>
            <w:r>
              <w:rPr>
                <w:webHidden/>
              </w:rPr>
              <w:instrText>PAGEREF _Toc229667200 \h</w:instrText>
            </w:r>
            <w:r>
              <w:rPr>
                <w:webHidden/>
              </w:rPr>
              <w:fldChar w:fldCharType="separate"/>
            </w:r>
            <w:r>
              <w:rPr>
                <w:rStyle w:val="Vnculodendice"/>
                <w:rFonts w:cs="Times New Roman" w:ascii="Times New Roman" w:hAnsi="Times New Roman"/>
                <w:vanish w:val="false"/>
                <w:sz w:val="24"/>
                <w:szCs w:val="24"/>
              </w:rPr>
              <w:tab/>
              <w:t>12</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01">
            <w:r>
              <w:rPr>
                <w:webHidden/>
                <w:rStyle w:val="Vnculodendice"/>
                <w:rFonts w:cs="Times New Roman" w:ascii="Times New Roman" w:hAnsi="Times New Roman"/>
                <w:sz w:val="24"/>
                <w:szCs w:val="24"/>
              </w:rPr>
              <w:t>5 OBJETIVOS DO CURSO</w:t>
            </w:r>
            <w:r>
              <w:rPr>
                <w:webHidden/>
              </w:rPr>
              <w:fldChar w:fldCharType="begin"/>
            </w:r>
            <w:r>
              <w:rPr>
                <w:webHidden/>
              </w:rPr>
              <w:instrText>PAGEREF _Toc229667201 \h</w:instrText>
            </w:r>
            <w:r>
              <w:rPr>
                <w:webHidden/>
              </w:rPr>
              <w:fldChar w:fldCharType="separate"/>
            </w:r>
            <w:r>
              <w:rPr>
                <w:rStyle w:val="Vnculodendice"/>
                <w:rFonts w:cs="Times New Roman" w:ascii="Times New Roman" w:hAnsi="Times New Roman"/>
                <w:vanish w:val="false"/>
                <w:sz w:val="24"/>
                <w:szCs w:val="24"/>
              </w:rPr>
              <w:tab/>
              <w:t>12</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2">
            <w:r>
              <w:rPr>
                <w:webHidden/>
                <w:rStyle w:val="Vnculodendice"/>
                <w:rFonts w:cs="Times New Roman" w:ascii="Times New Roman" w:hAnsi="Times New Roman"/>
                <w:sz w:val="24"/>
                <w:szCs w:val="24"/>
              </w:rPr>
              <w:t>5.1 Objetivos gerais</w:t>
            </w:r>
            <w:r>
              <w:rPr>
                <w:webHidden/>
              </w:rPr>
              <w:fldChar w:fldCharType="begin"/>
            </w:r>
            <w:r>
              <w:rPr>
                <w:webHidden/>
              </w:rPr>
              <w:instrText>PAGEREF _Toc229667202 \h</w:instrText>
            </w:r>
            <w:r>
              <w:rPr>
                <w:webHidden/>
              </w:rPr>
              <w:fldChar w:fldCharType="separate"/>
            </w:r>
            <w:r>
              <w:rPr>
                <w:rStyle w:val="Vnculodendice"/>
                <w:rFonts w:cs="Times New Roman" w:ascii="Times New Roman" w:hAnsi="Times New Roman"/>
                <w:vanish w:val="false"/>
                <w:sz w:val="24"/>
                <w:szCs w:val="24"/>
              </w:rPr>
              <w:tab/>
              <w:t>12</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3">
            <w:r>
              <w:rPr>
                <w:webHidden/>
                <w:rStyle w:val="Vnculodendice"/>
                <w:rFonts w:cs="Times New Roman" w:ascii="Times New Roman" w:hAnsi="Times New Roman"/>
                <w:sz w:val="24"/>
                <w:szCs w:val="24"/>
              </w:rPr>
              <w:t>5.2 Objetivos específicos</w:t>
            </w:r>
            <w:r>
              <w:rPr>
                <w:webHidden/>
              </w:rPr>
              <w:fldChar w:fldCharType="begin"/>
            </w:r>
            <w:r>
              <w:rPr>
                <w:webHidden/>
              </w:rPr>
              <w:instrText>PAGEREF _Toc229667203 \h</w:instrText>
            </w:r>
            <w:r>
              <w:rPr>
                <w:webHidden/>
              </w:rPr>
              <w:fldChar w:fldCharType="separate"/>
            </w:r>
            <w:r>
              <w:rPr>
                <w:rStyle w:val="Vnculodendice"/>
                <w:rFonts w:cs="Times New Roman" w:ascii="Times New Roman" w:hAnsi="Times New Roman"/>
                <w:vanish w:val="false"/>
                <w:sz w:val="24"/>
                <w:szCs w:val="24"/>
              </w:rPr>
              <w:tab/>
              <w:t>12</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04">
            <w:r>
              <w:rPr>
                <w:webHidden/>
                <w:rStyle w:val="Vnculodendice"/>
                <w:rFonts w:cs="Times New Roman" w:ascii="Times New Roman" w:hAnsi="Times New Roman"/>
                <w:sz w:val="24"/>
                <w:szCs w:val="24"/>
              </w:rPr>
              <w:t>6 PERFIL PROFISSIONAL DO EGRESSO</w:t>
            </w:r>
            <w:r>
              <w:rPr>
                <w:webHidden/>
              </w:rPr>
              <w:fldChar w:fldCharType="begin"/>
            </w:r>
            <w:r>
              <w:rPr>
                <w:webHidden/>
              </w:rPr>
              <w:instrText>PAGEREF _Toc229667204 \h</w:instrText>
            </w:r>
            <w:r>
              <w:rPr>
                <w:webHidden/>
              </w:rPr>
              <w:fldChar w:fldCharType="separate"/>
            </w:r>
            <w:r>
              <w:rPr>
                <w:rStyle w:val="Vnculodendice"/>
                <w:rFonts w:cs="Times New Roman" w:ascii="Times New Roman" w:hAnsi="Times New Roman"/>
                <w:vanish w:val="false"/>
                <w:sz w:val="24"/>
                <w:szCs w:val="24"/>
              </w:rPr>
              <w:tab/>
              <w:t>12</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05">
            <w:r>
              <w:rPr>
                <w:webHidden/>
                <w:rStyle w:val="Vnculodendice"/>
                <w:rFonts w:cs="Times New Roman" w:ascii="Times New Roman" w:hAnsi="Times New Roman"/>
                <w:sz w:val="24"/>
                <w:szCs w:val="24"/>
              </w:rPr>
              <w:t>7 ESTRUTURA CURRICULAR</w:t>
            </w:r>
            <w:r>
              <w:rPr>
                <w:webHidden/>
              </w:rPr>
              <w:fldChar w:fldCharType="begin"/>
            </w:r>
            <w:r>
              <w:rPr>
                <w:webHidden/>
              </w:rPr>
              <w:instrText>PAGEREF _Toc229667205 \h</w:instrText>
            </w:r>
            <w:r>
              <w:rPr>
                <w:webHidden/>
              </w:rPr>
              <w:fldChar w:fldCharType="separate"/>
            </w:r>
            <w:r>
              <w:rPr>
                <w:rStyle w:val="Vnculodendice"/>
                <w:rFonts w:cs="Times New Roman" w:ascii="Times New Roman" w:hAnsi="Times New Roman"/>
                <w:vanish w:val="false"/>
                <w:sz w:val="24"/>
                <w:szCs w:val="24"/>
              </w:rPr>
              <w:tab/>
              <w:t>13</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6">
            <w:r>
              <w:rPr>
                <w:webHidden/>
                <w:rStyle w:val="Vnculodendice"/>
                <w:rFonts w:cs="Times New Roman" w:ascii="Times New Roman" w:hAnsi="Times New Roman"/>
                <w:sz w:val="24"/>
                <w:szCs w:val="24"/>
              </w:rPr>
              <w:t>7.1 Matriz curricular</w:t>
            </w:r>
            <w:r>
              <w:rPr>
                <w:webHidden/>
              </w:rPr>
              <w:fldChar w:fldCharType="begin"/>
            </w:r>
            <w:r>
              <w:rPr>
                <w:webHidden/>
              </w:rPr>
              <w:instrText>PAGEREF _Toc229667206 \h</w:instrText>
            </w:r>
            <w:r>
              <w:rPr>
                <w:webHidden/>
              </w:rPr>
              <w:fldChar w:fldCharType="separate"/>
            </w:r>
            <w:r>
              <w:rPr>
                <w:rStyle w:val="Vnculodendice"/>
                <w:rFonts w:cs="Times New Roman" w:ascii="Times New Roman" w:hAnsi="Times New Roman"/>
                <w:vanish w:val="false"/>
                <w:sz w:val="24"/>
                <w:szCs w:val="24"/>
              </w:rPr>
              <w:tab/>
              <w:t>14</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7">
            <w:r>
              <w:rPr>
                <w:webHidden/>
                <w:rStyle w:val="Vnculodendice"/>
                <w:rFonts w:cs="Times New Roman" w:ascii="Times New Roman" w:hAnsi="Times New Roman"/>
                <w:sz w:val="24"/>
                <w:szCs w:val="24"/>
              </w:rPr>
              <w:t>7.2 Resumo da carga horária</w:t>
            </w:r>
            <w:r>
              <w:rPr>
                <w:webHidden/>
              </w:rPr>
              <w:fldChar w:fldCharType="begin"/>
            </w:r>
            <w:r>
              <w:rPr>
                <w:webHidden/>
              </w:rPr>
              <w:instrText>PAGEREF _Toc229667207 \h</w:instrText>
            </w:r>
            <w:r>
              <w:rPr>
                <w:webHidden/>
              </w:rPr>
              <w:fldChar w:fldCharType="separate"/>
            </w:r>
            <w:r>
              <w:rPr>
                <w:rStyle w:val="Vnculodendice"/>
                <w:rFonts w:cs="Times New Roman" w:ascii="Times New Roman" w:hAnsi="Times New Roman"/>
                <w:vanish w:val="false"/>
                <w:sz w:val="24"/>
                <w:szCs w:val="24"/>
              </w:rPr>
              <w:tab/>
              <w:t>15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8">
            <w:r>
              <w:rPr>
                <w:webHidden/>
                <w:rStyle w:val="Vnculodendice"/>
                <w:rFonts w:cs="Times New Roman" w:ascii="Times New Roman" w:hAnsi="Times New Roman"/>
                <w:sz w:val="24"/>
                <w:szCs w:val="24"/>
              </w:rPr>
              <w:t>7.3 Equivalências</w:t>
            </w:r>
            <w:r>
              <w:rPr>
                <w:webHidden/>
              </w:rPr>
              <w:fldChar w:fldCharType="begin"/>
            </w:r>
            <w:r>
              <w:rPr>
                <w:webHidden/>
              </w:rPr>
              <w:instrText>PAGEREF _Toc229667208 \h</w:instrText>
            </w:r>
            <w:r>
              <w:rPr>
                <w:webHidden/>
              </w:rPr>
              <w:fldChar w:fldCharType="separate"/>
            </w:r>
            <w:r>
              <w:rPr>
                <w:rStyle w:val="Vnculodendice"/>
                <w:rFonts w:cs="Times New Roman" w:ascii="Times New Roman" w:hAnsi="Times New Roman"/>
                <w:vanish w:val="false"/>
                <w:sz w:val="24"/>
                <w:szCs w:val="24"/>
              </w:rPr>
              <w:tab/>
              <w:t>15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09">
            <w:r>
              <w:rPr>
                <w:webHidden/>
                <w:rStyle w:val="Vnculodendice"/>
                <w:rFonts w:cs="Times New Roman" w:ascii="Times New Roman" w:hAnsi="Times New Roman"/>
                <w:sz w:val="24"/>
                <w:szCs w:val="24"/>
              </w:rPr>
              <w:t>7.4 Sugestão de fluxo</w:t>
            </w:r>
            <w:r>
              <w:rPr>
                <w:webHidden/>
              </w:rPr>
              <w:fldChar w:fldCharType="begin"/>
            </w:r>
            <w:r>
              <w:rPr>
                <w:webHidden/>
              </w:rPr>
              <w:instrText>PAGEREF _Toc229667209 \h</w:instrText>
            </w:r>
            <w:r>
              <w:rPr>
                <w:webHidden/>
              </w:rPr>
              <w:fldChar w:fldCharType="separate"/>
            </w:r>
            <w:r>
              <w:rPr>
                <w:rStyle w:val="Vnculodendice"/>
                <w:rFonts w:cs="Times New Roman" w:ascii="Times New Roman" w:hAnsi="Times New Roman"/>
                <w:vanish w:val="false"/>
                <w:sz w:val="24"/>
                <w:szCs w:val="24"/>
              </w:rPr>
              <w:tab/>
              <w:t>16</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10">
            <w:r>
              <w:rPr>
                <w:webHidden/>
                <w:rStyle w:val="Vnculodendice"/>
                <w:rFonts w:cs="Times New Roman" w:ascii="Times New Roman" w:hAnsi="Times New Roman"/>
                <w:sz w:val="24"/>
                <w:szCs w:val="24"/>
              </w:rPr>
              <w:t>8 ESTRATÉGIAS DE ENSINO-APRENDIZAGEM, ACOMPANHAMENTO, ACESSIBILIDADE METODOLÓGICA E AUTONOMIA DISCENTE</w:t>
            </w:r>
            <w:r>
              <w:rPr>
                <w:webHidden/>
              </w:rPr>
              <w:fldChar w:fldCharType="begin"/>
            </w:r>
            <w:r>
              <w:rPr>
                <w:webHidden/>
              </w:rPr>
              <w:instrText>PAGEREF _Toc229667210 \h</w:instrText>
            </w:r>
            <w:r>
              <w:rPr>
                <w:webHidden/>
              </w:rPr>
              <w:fldChar w:fldCharType="separate"/>
            </w:r>
            <w:r>
              <w:rPr>
                <w:rStyle w:val="Vnculodendice"/>
                <w:rFonts w:cs="Times New Roman" w:ascii="Times New Roman" w:hAnsi="Times New Roman"/>
                <w:vanish w:val="false"/>
                <w:sz w:val="24"/>
                <w:szCs w:val="24"/>
              </w:rPr>
              <w:tab/>
              <w:t>18</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11">
            <w:r>
              <w:rPr>
                <w:webHidden/>
                <w:rStyle w:val="Vnculodendice"/>
                <w:rFonts w:cs="Times New Roman" w:ascii="Times New Roman" w:hAnsi="Times New Roman"/>
                <w:sz w:val="24"/>
                <w:szCs w:val="24"/>
              </w:rPr>
              <w:t>9 AVALIAÇÕES</w:t>
            </w:r>
            <w:r>
              <w:rPr>
                <w:webHidden/>
              </w:rPr>
              <w:fldChar w:fldCharType="begin"/>
            </w:r>
            <w:r>
              <w:rPr>
                <w:webHidden/>
              </w:rPr>
              <w:instrText>PAGEREF _Toc229667211 \h</w:instrText>
            </w:r>
            <w:r>
              <w:rPr>
                <w:webHidden/>
              </w:rPr>
              <w:fldChar w:fldCharType="separate"/>
            </w:r>
            <w:r>
              <w:rPr>
                <w:rStyle w:val="Vnculodendice"/>
                <w:rFonts w:cs="Times New Roman" w:ascii="Times New Roman" w:hAnsi="Times New Roman"/>
                <w:vanish w:val="false"/>
                <w:sz w:val="24"/>
                <w:szCs w:val="24"/>
              </w:rPr>
              <w:tab/>
              <w:t>18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12">
            <w:r>
              <w:rPr>
                <w:webHidden/>
                <w:rStyle w:val="Vnculodendice"/>
                <w:rFonts w:cs="Times New Roman" w:ascii="Times New Roman" w:hAnsi="Times New Roman"/>
                <w:sz w:val="24"/>
                <w:szCs w:val="24"/>
              </w:rPr>
              <w:t>9.1 Avaliação de aprendizagem</w:t>
            </w:r>
            <w:r>
              <w:rPr>
                <w:webHidden/>
              </w:rPr>
              <w:fldChar w:fldCharType="begin"/>
            </w:r>
            <w:r>
              <w:rPr>
                <w:webHidden/>
              </w:rPr>
              <w:instrText>PAGEREF _Toc229667212 \h</w:instrText>
            </w:r>
            <w:r>
              <w:rPr>
                <w:webHidden/>
              </w:rPr>
              <w:fldChar w:fldCharType="separate"/>
            </w:r>
            <w:r>
              <w:rPr>
                <w:rStyle w:val="Vnculodendice"/>
                <w:rFonts w:cs="Times New Roman" w:ascii="Times New Roman" w:hAnsi="Times New Roman"/>
                <w:vanish w:val="false"/>
                <w:sz w:val="24"/>
                <w:szCs w:val="24"/>
              </w:rPr>
              <w:tab/>
              <w:t>18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13">
            <w:r>
              <w:rPr>
                <w:webHidden/>
                <w:rStyle w:val="Vnculodendice"/>
                <w:rFonts w:cs="Times New Roman" w:ascii="Times New Roman" w:hAnsi="Times New Roman"/>
                <w:sz w:val="24"/>
                <w:szCs w:val="24"/>
              </w:rPr>
              <w:t>9.2 Autoavaliação institucional</w:t>
            </w:r>
            <w:r>
              <w:rPr>
                <w:webHidden/>
              </w:rPr>
              <w:fldChar w:fldCharType="begin"/>
            </w:r>
            <w:r>
              <w:rPr>
                <w:webHidden/>
              </w:rPr>
              <w:instrText>PAGEREF _Toc229667213 \h</w:instrText>
            </w:r>
            <w:r>
              <w:rPr>
                <w:webHidden/>
              </w:rPr>
              <w:fldChar w:fldCharType="separate"/>
            </w:r>
            <w:r>
              <w:rPr>
                <w:rStyle w:val="Vnculodendice"/>
                <w:rFonts w:cs="Times New Roman" w:ascii="Times New Roman" w:hAnsi="Times New Roman"/>
                <w:vanish w:val="false"/>
                <w:sz w:val="24"/>
                <w:szCs w:val="24"/>
              </w:rPr>
              <w:tab/>
              <w:t>19</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14">
            <w:r>
              <w:rPr>
                <w:webHidden/>
                <w:rStyle w:val="Vnculodendice"/>
                <w:rFonts w:cs="Times New Roman" w:ascii="Times New Roman" w:hAnsi="Times New Roman"/>
                <w:sz w:val="24"/>
                <w:szCs w:val="24"/>
              </w:rPr>
              <w:t>9.3 Avaliações externas</w:t>
            </w:r>
            <w:r>
              <w:rPr>
                <w:webHidden/>
              </w:rPr>
              <w:fldChar w:fldCharType="begin"/>
            </w:r>
            <w:r>
              <w:rPr>
                <w:webHidden/>
              </w:rPr>
              <w:instrText>PAGEREF _Toc229667214 \h</w:instrText>
            </w:r>
            <w:r>
              <w:rPr>
                <w:webHidden/>
              </w:rPr>
              <w:fldChar w:fldCharType="separate"/>
            </w:r>
            <w:r>
              <w:rPr>
                <w:rStyle w:val="Vnculodendice"/>
                <w:rFonts w:cs="Times New Roman" w:ascii="Times New Roman" w:hAnsi="Times New Roman"/>
                <w:vanish w:val="false"/>
                <w:sz w:val="24"/>
                <w:szCs w:val="24"/>
              </w:rPr>
              <w:tab/>
              <w:t>19</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15">
            <w:r>
              <w:rPr>
                <w:webHidden/>
                <w:rStyle w:val="Vnculodendice"/>
                <w:rFonts w:cs="Times New Roman" w:ascii="Times New Roman" w:hAnsi="Times New Roman"/>
                <w:sz w:val="24"/>
                <w:szCs w:val="24"/>
              </w:rPr>
              <w:t>9.4 Processo Autoavaliativo do Curso e do Projeto Pedagógico de Curso</w:t>
            </w:r>
            <w:r>
              <w:rPr>
                <w:webHidden/>
              </w:rPr>
              <w:fldChar w:fldCharType="begin"/>
            </w:r>
            <w:r>
              <w:rPr>
                <w:webHidden/>
              </w:rPr>
              <w:instrText>PAGEREF _Toc229667215 \h</w:instrText>
            </w:r>
            <w:r>
              <w:rPr>
                <w:webHidden/>
              </w:rPr>
              <w:fldChar w:fldCharType="separate"/>
            </w:r>
            <w:r>
              <w:rPr>
                <w:rStyle w:val="Vnculodendice"/>
                <w:rFonts w:cs="Times New Roman" w:ascii="Times New Roman" w:hAnsi="Times New Roman"/>
                <w:vanish w:val="false"/>
                <w:sz w:val="24"/>
                <w:szCs w:val="24"/>
              </w:rPr>
              <w:tab/>
              <w:t>20</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16">
            <w:r>
              <w:rPr>
                <w:webHidden/>
                <w:rStyle w:val="Vnculodendice"/>
                <w:rFonts w:cs="Times New Roman" w:ascii="Times New Roman" w:hAnsi="Times New Roman"/>
                <w:sz w:val="24"/>
                <w:szCs w:val="24"/>
              </w:rPr>
              <w:t>10 POLÍTICA E GESTÃO DE ESTÁGIO</w:t>
            </w:r>
            <w:r>
              <w:rPr>
                <w:webHidden/>
              </w:rPr>
              <w:fldChar w:fldCharType="begin"/>
            </w:r>
            <w:r>
              <w:rPr>
                <w:webHidden/>
              </w:rPr>
              <w:instrText>PAGEREF _Toc229667216 \h</w:instrText>
            </w:r>
            <w:r>
              <w:rPr>
                <w:webHidden/>
              </w:rPr>
              <w:fldChar w:fldCharType="separate"/>
            </w:r>
            <w:r>
              <w:rPr>
                <w:rStyle w:val="Vnculodendice"/>
                <w:rFonts w:cs="Times New Roman" w:ascii="Times New Roman" w:hAnsi="Times New Roman"/>
                <w:vanish w:val="false"/>
                <w:sz w:val="24"/>
                <w:szCs w:val="24"/>
              </w:rPr>
              <w:tab/>
              <w:t>20</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17">
            <w:r>
              <w:rPr>
                <w:webHidden/>
                <w:rStyle w:val="Vnculodendice"/>
                <w:rFonts w:cs="Times New Roman" w:ascii="Times New Roman" w:hAnsi="Times New Roman"/>
                <w:sz w:val="24"/>
                <w:szCs w:val="24"/>
              </w:rPr>
              <w:t>10.1 Estágio curricular supervisionado obrigatório</w:t>
            </w:r>
            <w:r>
              <w:rPr>
                <w:webHidden/>
              </w:rPr>
              <w:fldChar w:fldCharType="begin"/>
            </w:r>
            <w:r>
              <w:rPr>
                <w:webHidden/>
              </w:rPr>
              <w:instrText>PAGEREF _Toc229667217 \h</w:instrText>
            </w:r>
            <w:r>
              <w:rPr>
                <w:webHidden/>
              </w:rPr>
              <w:fldChar w:fldCharType="separate"/>
            </w:r>
            <w:r>
              <w:rPr>
                <w:rStyle w:val="Vnculodendice"/>
                <w:rFonts w:cs="Times New Roman" w:ascii="Times New Roman" w:hAnsi="Times New Roman"/>
                <w:vanish w:val="false"/>
                <w:sz w:val="24"/>
                <w:szCs w:val="24"/>
              </w:rPr>
              <w:tab/>
              <w:t>20</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18">
            <w:r>
              <w:rPr>
                <w:webHidden/>
                <w:rStyle w:val="Vnculodendice"/>
                <w:rFonts w:cs="Times New Roman" w:ascii="Times New Roman" w:hAnsi="Times New Roman"/>
                <w:sz w:val="24"/>
                <w:szCs w:val="24"/>
              </w:rPr>
              <w:t>10.2 Estágio curricular supervisionado não obrigatório</w:t>
            </w:r>
            <w:r>
              <w:rPr>
                <w:webHidden/>
              </w:rPr>
              <w:fldChar w:fldCharType="begin"/>
            </w:r>
            <w:r>
              <w:rPr>
                <w:webHidden/>
              </w:rPr>
              <w:instrText>PAGEREF _Toc229667218 \h</w:instrText>
            </w:r>
            <w:r>
              <w:rPr>
                <w:webHidden/>
              </w:rPr>
              <w:fldChar w:fldCharType="separate"/>
            </w:r>
            <w:r>
              <w:rPr>
                <w:rStyle w:val="Vnculodendice"/>
                <w:rFonts w:cs="Times New Roman" w:ascii="Times New Roman" w:hAnsi="Times New Roman"/>
                <w:vanish w:val="false"/>
                <w:sz w:val="24"/>
                <w:szCs w:val="24"/>
              </w:rPr>
              <w:tab/>
              <w:t>20</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19">
            <w:r>
              <w:rPr>
                <w:webHidden/>
                <w:rStyle w:val="Vnculodendice"/>
                <w:rFonts w:cs="Times New Roman" w:ascii="Times New Roman" w:hAnsi="Times New Roman"/>
                <w:sz w:val="24"/>
                <w:szCs w:val="24"/>
              </w:rPr>
              <w:t>11 ATIVIDADES COMPLEMENTARES</w:t>
            </w:r>
            <w:r>
              <w:rPr>
                <w:webHidden/>
              </w:rPr>
              <w:fldChar w:fldCharType="begin"/>
            </w:r>
            <w:r>
              <w:rPr>
                <w:webHidden/>
              </w:rPr>
              <w:instrText>PAGEREF _Toc229667219 \h</w:instrText>
            </w:r>
            <w:r>
              <w:rPr>
                <w:webHidden/>
              </w:rPr>
              <w:fldChar w:fldCharType="separate"/>
            </w:r>
            <w:r>
              <w:rPr>
                <w:rStyle w:val="Vnculodendice"/>
                <w:rFonts w:cs="Times New Roman" w:ascii="Times New Roman" w:hAnsi="Times New Roman"/>
                <w:vanish w:val="false"/>
                <w:sz w:val="24"/>
                <w:szCs w:val="24"/>
              </w:rPr>
              <w:tab/>
              <w:t>22</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20">
            <w:r>
              <w:rPr>
                <w:webHidden/>
                <w:rStyle w:val="Vnculodendice"/>
                <w:rFonts w:cs="Times New Roman" w:ascii="Times New Roman" w:hAnsi="Times New Roman"/>
                <w:sz w:val="24"/>
                <w:szCs w:val="24"/>
              </w:rPr>
              <w:t>12 TRABALHO DE CONCLUSÃO DE CURSO</w:t>
            </w:r>
            <w:r>
              <w:rPr>
                <w:webHidden/>
              </w:rPr>
              <w:fldChar w:fldCharType="begin"/>
            </w:r>
            <w:r>
              <w:rPr>
                <w:webHidden/>
              </w:rPr>
              <w:instrText>PAGEREF _Toc229667220 \h</w:instrText>
            </w:r>
            <w:r>
              <w:rPr>
                <w:webHidden/>
              </w:rPr>
              <w:fldChar w:fldCharType="separate"/>
            </w:r>
            <w:r>
              <w:rPr>
                <w:rStyle w:val="Vnculodendice"/>
                <w:rFonts w:cs="Times New Roman" w:ascii="Times New Roman" w:hAnsi="Times New Roman"/>
                <w:vanish w:val="false"/>
                <w:sz w:val="24"/>
                <w:szCs w:val="24"/>
              </w:rPr>
              <w:tab/>
              <w:t>22</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21">
            <w:r>
              <w:rPr>
                <w:webHidden/>
                <w:rStyle w:val="Vnculodendice"/>
                <w:rFonts w:cs="Times New Roman" w:ascii="Times New Roman" w:hAnsi="Times New Roman"/>
                <w:sz w:val="24"/>
                <w:szCs w:val="24"/>
              </w:rPr>
              <w:t>13 ATIVIDADES ACADÊMICAS DE EXTENSÃO CURRICULAR</w:t>
            </w:r>
            <w:r>
              <w:rPr>
                <w:webHidden/>
              </w:rPr>
              <w:fldChar w:fldCharType="begin"/>
            </w:r>
            <w:r>
              <w:rPr>
                <w:webHidden/>
              </w:rPr>
              <w:instrText>PAGEREF _Toc229667221 \h</w:instrText>
            </w:r>
            <w:r>
              <w:rPr>
                <w:webHidden/>
              </w:rPr>
              <w:fldChar w:fldCharType="separate"/>
            </w:r>
            <w:r>
              <w:rPr>
                <w:rStyle w:val="Vnculodendice"/>
                <w:rFonts w:cs="Times New Roman" w:ascii="Times New Roman" w:hAnsi="Times New Roman"/>
                <w:vanish w:val="false"/>
                <w:sz w:val="24"/>
                <w:szCs w:val="24"/>
              </w:rPr>
              <w:tab/>
              <w:t>23</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22">
            <w:r>
              <w:rPr>
                <w:webHidden/>
                <w:rStyle w:val="Vnculodendice"/>
                <w:rFonts w:cs="Times New Roman" w:ascii="Times New Roman" w:hAnsi="Times New Roman"/>
                <w:sz w:val="24"/>
                <w:szCs w:val="24"/>
              </w:rPr>
              <w:t>14 APOIO DISCENTE</w:t>
            </w:r>
            <w:r>
              <w:rPr>
                <w:webHidden/>
              </w:rPr>
              <w:fldChar w:fldCharType="begin"/>
            </w:r>
            <w:r>
              <w:rPr>
                <w:webHidden/>
              </w:rPr>
              <w:instrText>PAGEREF _Toc229667222 \h</w:instrText>
            </w:r>
            <w:r>
              <w:rPr>
                <w:webHidden/>
              </w:rPr>
              <w:fldChar w:fldCharType="separate"/>
            </w:r>
            <w:r>
              <w:rPr>
                <w:rStyle w:val="Vnculodendice"/>
                <w:rFonts w:cs="Times New Roman" w:ascii="Times New Roman" w:hAnsi="Times New Roman"/>
                <w:vanish w:val="false"/>
                <w:sz w:val="24"/>
                <w:szCs w:val="24"/>
              </w:rPr>
              <w:tab/>
              <w:t>24</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3">
            <w:r>
              <w:rPr>
                <w:webHidden/>
                <w:rStyle w:val="Vnculodendice"/>
                <w:rFonts w:cs="Times New Roman" w:ascii="Times New Roman" w:hAnsi="Times New Roman"/>
                <w:sz w:val="24"/>
                <w:szCs w:val="24"/>
              </w:rPr>
              <w:t>14.1 PNAES</w:t>
            </w:r>
            <w:r>
              <w:rPr>
                <w:webHidden/>
              </w:rPr>
              <w:fldChar w:fldCharType="begin"/>
            </w:r>
            <w:r>
              <w:rPr>
                <w:webHidden/>
              </w:rPr>
              <w:instrText>PAGEREF _Toc229667223 \h</w:instrText>
            </w:r>
            <w:r>
              <w:rPr>
                <w:webHidden/>
              </w:rPr>
              <w:fldChar w:fldCharType="separate"/>
            </w:r>
            <w:r>
              <w:rPr>
                <w:rStyle w:val="Vnculodendice"/>
                <w:rFonts w:cs="Times New Roman" w:ascii="Times New Roman" w:hAnsi="Times New Roman"/>
                <w:vanish w:val="false"/>
                <w:sz w:val="24"/>
                <w:szCs w:val="24"/>
              </w:rPr>
              <w:tab/>
              <w:t>25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4">
            <w:r>
              <w:rPr>
                <w:webHidden/>
                <w:rStyle w:val="Vnculodendice"/>
                <w:rFonts w:cs="Times New Roman" w:ascii="Times New Roman" w:hAnsi="Times New Roman"/>
                <w:sz w:val="24"/>
                <w:szCs w:val="24"/>
              </w:rPr>
              <w:t>14.2 Apoio pedagógico discente</w:t>
            </w:r>
            <w:r>
              <w:rPr>
                <w:webHidden/>
              </w:rPr>
              <w:fldChar w:fldCharType="begin"/>
            </w:r>
            <w:r>
              <w:rPr>
                <w:webHidden/>
              </w:rPr>
              <w:instrText>PAGEREF _Toc229667224 \h</w:instrText>
            </w:r>
            <w:r>
              <w:rPr>
                <w:webHidden/>
              </w:rPr>
              <w:fldChar w:fldCharType="separate"/>
            </w:r>
            <w:r>
              <w:rPr>
                <w:rStyle w:val="Vnculodendice"/>
                <w:rFonts w:cs="Times New Roman" w:ascii="Times New Roman" w:hAnsi="Times New Roman"/>
                <w:vanish w:val="false"/>
                <w:sz w:val="24"/>
                <w:szCs w:val="24"/>
              </w:rPr>
              <w:tab/>
              <w:t>25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5">
            <w:r>
              <w:rPr>
                <w:webHidden/>
                <w:rStyle w:val="Vnculodendice"/>
                <w:rFonts w:cs="Times New Roman" w:ascii="Times New Roman" w:hAnsi="Times New Roman"/>
                <w:sz w:val="24"/>
                <w:szCs w:val="24"/>
              </w:rPr>
              <w:t>14.3 Acompanhamento psicopedagógico</w:t>
            </w:r>
            <w:r>
              <w:rPr>
                <w:webHidden/>
              </w:rPr>
              <w:fldChar w:fldCharType="begin"/>
            </w:r>
            <w:r>
              <w:rPr>
                <w:webHidden/>
              </w:rPr>
              <w:instrText>PAGEREF _Toc229667225 \h</w:instrText>
            </w:r>
            <w:r>
              <w:rPr>
                <w:webHidden/>
              </w:rPr>
              <w:fldChar w:fldCharType="separate"/>
            </w:r>
            <w:r>
              <w:rPr>
                <w:rStyle w:val="Vnculodendice"/>
                <w:rFonts w:cs="Times New Roman" w:ascii="Times New Roman" w:hAnsi="Times New Roman"/>
                <w:vanish w:val="false"/>
                <w:sz w:val="24"/>
                <w:szCs w:val="24"/>
              </w:rPr>
              <w:tab/>
              <w:t>26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6">
            <w:r>
              <w:rPr>
                <w:webHidden/>
                <w:rStyle w:val="Vnculodendice"/>
                <w:rFonts w:cs="Times New Roman" w:ascii="Times New Roman" w:hAnsi="Times New Roman"/>
                <w:sz w:val="24"/>
                <w:szCs w:val="24"/>
              </w:rPr>
              <w:t>14.4 Apoia a participação de eventos</w:t>
            </w:r>
            <w:r>
              <w:rPr>
                <w:webHidden/>
              </w:rPr>
              <w:fldChar w:fldCharType="begin"/>
            </w:r>
            <w:r>
              <w:rPr>
                <w:webHidden/>
              </w:rPr>
              <w:instrText>PAGEREF _Toc229667226 \h</w:instrText>
            </w:r>
            <w:r>
              <w:rPr>
                <w:webHidden/>
              </w:rPr>
              <w:fldChar w:fldCharType="separate"/>
            </w:r>
            <w:r>
              <w:rPr>
                <w:rStyle w:val="Vnculodendice"/>
                <w:rFonts w:cs="Times New Roman" w:ascii="Times New Roman" w:hAnsi="Times New Roman"/>
                <w:vanish w:val="false"/>
                <w:sz w:val="24"/>
                <w:szCs w:val="24"/>
              </w:rPr>
              <w:tab/>
              <w:t>27</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7">
            <w:r>
              <w:rPr>
                <w:webHidden/>
                <w:rStyle w:val="Vnculodendice"/>
                <w:rFonts w:cs="Times New Roman" w:ascii="Times New Roman" w:hAnsi="Times New Roman"/>
                <w:sz w:val="24"/>
                <w:szCs w:val="24"/>
              </w:rPr>
              <w:t>14.5 Mecanismos de nivelamento</w:t>
            </w:r>
            <w:r>
              <w:rPr>
                <w:webHidden/>
              </w:rPr>
              <w:fldChar w:fldCharType="begin"/>
            </w:r>
            <w:r>
              <w:rPr>
                <w:webHidden/>
              </w:rPr>
              <w:instrText>PAGEREF _Toc229667227 \h</w:instrText>
            </w:r>
            <w:r>
              <w:rPr>
                <w:webHidden/>
              </w:rPr>
              <w:fldChar w:fldCharType="separate"/>
            </w:r>
            <w:r>
              <w:rPr>
                <w:rStyle w:val="Vnculodendice"/>
                <w:rFonts w:cs="Times New Roman" w:ascii="Times New Roman" w:hAnsi="Times New Roman"/>
                <w:vanish w:val="false"/>
                <w:sz w:val="24"/>
                <w:szCs w:val="24"/>
              </w:rPr>
              <w:tab/>
              <w:t>27</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8">
            <w:r>
              <w:rPr>
                <w:webHidden/>
                <w:rStyle w:val="Vnculodendice"/>
                <w:rFonts w:cs="Times New Roman" w:ascii="Times New Roman" w:hAnsi="Times New Roman"/>
                <w:sz w:val="24"/>
                <w:szCs w:val="24"/>
              </w:rPr>
              <w:t>14.6 Acompanhamento de egressos</w:t>
            </w:r>
            <w:r>
              <w:rPr>
                <w:webHidden/>
              </w:rPr>
              <w:fldChar w:fldCharType="begin"/>
            </w:r>
            <w:r>
              <w:rPr>
                <w:webHidden/>
              </w:rPr>
              <w:instrText>PAGEREF _Toc229667228 \h</w:instrText>
            </w:r>
            <w:r>
              <w:rPr>
                <w:webHidden/>
              </w:rPr>
              <w:fldChar w:fldCharType="separate"/>
            </w:r>
            <w:r>
              <w:rPr>
                <w:rStyle w:val="Vnculodendice"/>
                <w:rFonts w:cs="Times New Roman" w:ascii="Times New Roman" w:hAnsi="Times New Roman"/>
                <w:vanish w:val="false"/>
                <w:sz w:val="24"/>
                <w:szCs w:val="24"/>
              </w:rPr>
              <w:tab/>
              <w:t>28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29">
            <w:r>
              <w:rPr>
                <w:webHidden/>
                <w:rStyle w:val="Vnculodendice"/>
                <w:rFonts w:cs="Times New Roman" w:ascii="Times New Roman" w:hAnsi="Times New Roman"/>
                <w:sz w:val="24"/>
                <w:szCs w:val="24"/>
              </w:rPr>
              <w:t>14.7 Representação estudantil</w:t>
            </w:r>
            <w:r>
              <w:rPr>
                <w:webHidden/>
              </w:rPr>
              <w:fldChar w:fldCharType="begin"/>
            </w:r>
            <w:r>
              <w:rPr>
                <w:webHidden/>
              </w:rPr>
              <w:instrText>PAGEREF _Toc229667229 \h</w:instrText>
            </w:r>
            <w:r>
              <w:rPr>
                <w:webHidden/>
              </w:rPr>
              <w:fldChar w:fldCharType="separate"/>
            </w:r>
            <w:r>
              <w:rPr>
                <w:rStyle w:val="Vnculodendice"/>
                <w:rFonts w:cs="Times New Roman" w:ascii="Times New Roman" w:hAnsi="Times New Roman"/>
                <w:vanish w:val="false"/>
                <w:sz w:val="24"/>
                <w:szCs w:val="24"/>
              </w:rPr>
              <w:tab/>
              <w:t>28</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30">
            <w:r>
              <w:rPr>
                <w:webHidden/>
                <w:rStyle w:val="Vnculodendice"/>
                <w:rFonts w:cs="Times New Roman" w:ascii="Times New Roman" w:hAnsi="Times New Roman"/>
                <w:sz w:val="24"/>
                <w:szCs w:val="24"/>
              </w:rPr>
              <w:t>14.8 Divulgação da produção discente</w:t>
            </w:r>
            <w:r>
              <w:rPr>
                <w:webHidden/>
              </w:rPr>
              <w:fldChar w:fldCharType="begin"/>
            </w:r>
            <w:r>
              <w:rPr>
                <w:webHidden/>
              </w:rPr>
              <w:instrText>PAGEREF _Toc229667230 \h</w:instrText>
            </w:r>
            <w:r>
              <w:rPr>
                <w:webHidden/>
              </w:rPr>
              <w:fldChar w:fldCharType="separate"/>
            </w:r>
            <w:r>
              <w:rPr>
                <w:rStyle w:val="Vnculodendice"/>
                <w:rFonts w:cs="Times New Roman" w:ascii="Times New Roman" w:hAnsi="Times New Roman"/>
                <w:vanish w:val="false"/>
                <w:sz w:val="24"/>
                <w:szCs w:val="24"/>
              </w:rPr>
              <w:tab/>
              <w:t>29</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31">
            <w:r>
              <w:rPr>
                <w:webHidden/>
                <w:rStyle w:val="Vnculodendice"/>
                <w:rFonts w:cs="Times New Roman" w:ascii="Times New Roman" w:hAnsi="Times New Roman"/>
                <w:sz w:val="24"/>
                <w:szCs w:val="24"/>
              </w:rPr>
              <w:t>15 GESTÃO DO CURSO E OS PROCESSOS DE AVALIAÇÃO INTERNA E EXTERNA</w:t>
            </w:r>
            <w:r>
              <w:rPr>
                <w:webHidden/>
              </w:rPr>
              <w:fldChar w:fldCharType="begin"/>
            </w:r>
            <w:r>
              <w:rPr>
                <w:webHidden/>
              </w:rPr>
              <w:instrText>PAGEREF _Toc229667231 \h</w:instrText>
            </w:r>
            <w:r>
              <w:rPr>
                <w:webHidden/>
              </w:rPr>
              <w:fldChar w:fldCharType="separate"/>
            </w:r>
            <w:r>
              <w:rPr>
                <w:rStyle w:val="Vnculodendice"/>
                <w:rFonts w:cs="Times New Roman" w:ascii="Times New Roman" w:hAnsi="Times New Roman"/>
                <w:vanish w:val="false"/>
                <w:sz w:val="24"/>
                <w:szCs w:val="24"/>
              </w:rPr>
              <w:tab/>
              <w:t>29</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32">
            <w:r>
              <w:rPr>
                <w:webHidden/>
                <w:rStyle w:val="Vnculodendice"/>
                <w:rFonts w:cs="Times New Roman" w:ascii="Times New Roman" w:hAnsi="Times New Roman"/>
                <w:sz w:val="24"/>
                <w:szCs w:val="24"/>
              </w:rPr>
              <w:t>15.1 Coordenação do Curso</w:t>
            </w:r>
            <w:r>
              <w:rPr>
                <w:webHidden/>
              </w:rPr>
              <w:fldChar w:fldCharType="begin"/>
            </w:r>
            <w:r>
              <w:rPr>
                <w:webHidden/>
              </w:rPr>
              <w:instrText>PAGEREF _Toc229667232 \h</w:instrText>
            </w:r>
            <w:r>
              <w:rPr>
                <w:webHidden/>
              </w:rPr>
              <w:fldChar w:fldCharType="separate"/>
            </w:r>
            <w:r>
              <w:rPr>
                <w:rStyle w:val="Vnculodendice"/>
                <w:rFonts w:cs="Times New Roman" w:ascii="Times New Roman" w:hAnsi="Times New Roman"/>
                <w:vanish w:val="false"/>
                <w:sz w:val="24"/>
                <w:szCs w:val="24"/>
              </w:rPr>
              <w:tab/>
              <w:t>29</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33">
            <w:r>
              <w:rPr>
                <w:webHidden/>
                <w:rStyle w:val="Vnculodendice"/>
                <w:rFonts w:cs="Times New Roman" w:ascii="Times New Roman" w:hAnsi="Times New Roman"/>
                <w:sz w:val="24"/>
                <w:szCs w:val="24"/>
              </w:rPr>
              <w:t>15.2 Regime de trabalho da coordenação do curso e atuação</w:t>
            </w:r>
            <w:r>
              <w:rPr>
                <w:webHidden/>
              </w:rPr>
              <w:fldChar w:fldCharType="begin"/>
            </w:r>
            <w:r>
              <w:rPr>
                <w:webHidden/>
              </w:rPr>
              <w:instrText>PAGEREF _Toc229667233 \h</w:instrText>
            </w:r>
            <w:r>
              <w:rPr>
                <w:webHidden/>
              </w:rPr>
              <w:fldChar w:fldCharType="separate"/>
            </w:r>
            <w:r>
              <w:rPr>
                <w:rStyle w:val="Vnculodendice"/>
                <w:rFonts w:cs="Times New Roman" w:ascii="Times New Roman" w:hAnsi="Times New Roman"/>
                <w:vanish w:val="false"/>
                <w:sz w:val="24"/>
                <w:szCs w:val="24"/>
              </w:rPr>
              <w:tab/>
              <w:t>29</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34">
            <w:r>
              <w:rPr>
                <w:webHidden/>
                <w:rStyle w:val="Vnculodendice"/>
                <w:rFonts w:cs="Times New Roman" w:ascii="Times New Roman" w:hAnsi="Times New Roman"/>
                <w:sz w:val="24"/>
                <w:szCs w:val="24"/>
              </w:rPr>
              <w:t>15.3 Colegiados que participam da gestão do curso</w:t>
            </w:r>
            <w:r>
              <w:rPr>
                <w:webHidden/>
              </w:rPr>
              <w:fldChar w:fldCharType="begin"/>
            </w:r>
            <w:r>
              <w:rPr>
                <w:webHidden/>
              </w:rPr>
              <w:instrText>PAGEREF _Toc229667234 \h</w:instrText>
            </w:r>
            <w:r>
              <w:rPr>
                <w:webHidden/>
              </w:rPr>
              <w:fldChar w:fldCharType="separate"/>
            </w:r>
            <w:r>
              <w:rPr>
                <w:rStyle w:val="Vnculodendice"/>
                <w:rFonts w:cs="Times New Roman" w:ascii="Times New Roman" w:hAnsi="Times New Roman"/>
                <w:vanish w:val="false"/>
                <w:sz w:val="24"/>
                <w:szCs w:val="24"/>
              </w:rPr>
              <w:tab/>
              <w:t>29</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35">
            <w:r>
              <w:rPr>
                <w:webHidden/>
                <w:rStyle w:val="Vnculodendice"/>
                <w:rFonts w:cs="Times New Roman" w:ascii="Times New Roman" w:hAnsi="Times New Roman"/>
                <w:sz w:val="24"/>
                <w:szCs w:val="24"/>
              </w:rPr>
              <w:t>16 TECNOLOGIAS DE INFORMAÇÃO E COMUNICAÇÃO NO PROCESSO DE ENSINO- APRENDIZAGEM</w:t>
            </w:r>
            <w:r>
              <w:rPr>
                <w:webHidden/>
              </w:rPr>
              <w:fldChar w:fldCharType="begin"/>
            </w:r>
            <w:r>
              <w:rPr>
                <w:webHidden/>
              </w:rPr>
              <w:instrText>PAGEREF _Toc229667235 \h</w:instrText>
            </w:r>
            <w:r>
              <w:rPr>
                <w:webHidden/>
              </w:rPr>
              <w:fldChar w:fldCharType="separate"/>
            </w:r>
            <w:r>
              <w:rPr>
                <w:rStyle w:val="Vnculodendice"/>
                <w:rFonts w:cs="Times New Roman" w:ascii="Times New Roman" w:hAnsi="Times New Roman"/>
                <w:vanish w:val="false"/>
                <w:sz w:val="24"/>
                <w:szCs w:val="24"/>
              </w:rPr>
              <w:tab/>
              <w:t>30</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36">
            <w:r>
              <w:rPr>
                <w:webHidden/>
                <w:rStyle w:val="Vnculodendice"/>
                <w:rFonts w:cs="Times New Roman" w:ascii="Times New Roman" w:hAnsi="Times New Roman"/>
                <w:sz w:val="24"/>
                <w:szCs w:val="24"/>
              </w:rPr>
              <w:t>17 NÚMERO DE VAGAS</w:t>
            </w:r>
            <w:r>
              <w:rPr>
                <w:webHidden/>
              </w:rPr>
              <w:fldChar w:fldCharType="begin"/>
            </w:r>
            <w:r>
              <w:rPr>
                <w:webHidden/>
              </w:rPr>
              <w:instrText>PAGEREF _Toc229667236 \h</w:instrText>
            </w:r>
            <w:r>
              <w:rPr>
                <w:webHidden/>
              </w:rPr>
              <w:fldChar w:fldCharType="separate"/>
            </w:r>
            <w:r>
              <w:rPr>
                <w:rStyle w:val="Vnculodendice"/>
                <w:rFonts w:cs="Times New Roman" w:ascii="Times New Roman" w:hAnsi="Times New Roman"/>
                <w:vanish w:val="false"/>
                <w:sz w:val="24"/>
                <w:szCs w:val="24"/>
              </w:rPr>
              <w:tab/>
              <w:t>30</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37">
            <w:r>
              <w:rPr>
                <w:webHidden/>
                <w:rStyle w:val="Vnculodendice"/>
                <w:rFonts w:cs="Times New Roman" w:ascii="Times New Roman" w:hAnsi="Times New Roman"/>
                <w:sz w:val="24"/>
                <w:szCs w:val="24"/>
              </w:rPr>
              <w:t>17.1 Adequação ao Corpo docente e ao Coordenador</w:t>
            </w:r>
            <w:r>
              <w:rPr>
                <w:webHidden/>
              </w:rPr>
              <w:fldChar w:fldCharType="begin"/>
            </w:r>
            <w:r>
              <w:rPr>
                <w:webHidden/>
              </w:rPr>
              <w:instrText>PAGEREF _Toc229667237 \h</w:instrText>
            </w:r>
            <w:r>
              <w:rPr>
                <w:webHidden/>
              </w:rPr>
              <w:fldChar w:fldCharType="separate"/>
            </w:r>
            <w:r>
              <w:rPr>
                <w:rStyle w:val="Vnculodendice"/>
                <w:rFonts w:cs="Times New Roman" w:ascii="Times New Roman" w:hAnsi="Times New Roman"/>
                <w:vanish w:val="false"/>
                <w:sz w:val="24"/>
                <w:szCs w:val="24"/>
              </w:rPr>
              <w:tab/>
              <w:t>30</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38">
            <w:r>
              <w:rPr>
                <w:webHidden/>
                <w:rStyle w:val="Vnculodendice"/>
                <w:rFonts w:cs="Times New Roman" w:ascii="Times New Roman" w:hAnsi="Times New Roman"/>
                <w:sz w:val="24"/>
                <w:szCs w:val="24"/>
              </w:rPr>
              <w:t>18 CORPO DOCENTE</w:t>
            </w:r>
            <w:r>
              <w:rPr>
                <w:webHidden/>
              </w:rPr>
              <w:fldChar w:fldCharType="begin"/>
            </w:r>
            <w:r>
              <w:rPr>
                <w:webHidden/>
              </w:rPr>
              <w:instrText>PAGEREF _Toc229667238 \h</w:instrText>
            </w:r>
            <w:r>
              <w:rPr>
                <w:webHidden/>
              </w:rPr>
              <w:fldChar w:fldCharType="separate"/>
            </w:r>
            <w:r>
              <w:rPr>
                <w:rStyle w:val="Vnculodendice"/>
                <w:rFonts w:cs="Times New Roman" w:ascii="Times New Roman" w:hAnsi="Times New Roman"/>
                <w:vanish w:val="false"/>
                <w:sz w:val="24"/>
                <w:szCs w:val="24"/>
              </w:rPr>
              <w:tab/>
              <w:t>31</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39">
            <w:r>
              <w:rPr>
                <w:webHidden/>
                <w:rStyle w:val="Vnculodendice"/>
                <w:rFonts w:cs="Times New Roman" w:ascii="Times New Roman" w:hAnsi="Times New Roman"/>
                <w:sz w:val="24"/>
                <w:szCs w:val="24"/>
              </w:rPr>
              <w:t>18.1 Núcleo Docente Estruturante</w:t>
            </w:r>
            <w:r>
              <w:rPr>
                <w:webHidden/>
              </w:rPr>
              <w:fldChar w:fldCharType="begin"/>
            </w:r>
            <w:r>
              <w:rPr>
                <w:webHidden/>
              </w:rPr>
              <w:instrText>PAGEREF _Toc229667239 \h</w:instrText>
            </w:r>
            <w:r>
              <w:rPr>
                <w:webHidden/>
              </w:rPr>
              <w:fldChar w:fldCharType="separate"/>
            </w:r>
            <w:r>
              <w:rPr>
                <w:rStyle w:val="Vnculodendice"/>
                <w:rFonts w:cs="Times New Roman" w:ascii="Times New Roman" w:hAnsi="Times New Roman"/>
                <w:vanish w:val="false"/>
                <w:sz w:val="24"/>
                <w:szCs w:val="24"/>
              </w:rPr>
              <w:tab/>
              <w:t>31</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0">
            <w:r>
              <w:rPr>
                <w:webHidden/>
                <w:rStyle w:val="Vnculodendice"/>
                <w:rFonts w:cs="Times New Roman" w:ascii="Times New Roman" w:hAnsi="Times New Roman"/>
                <w:sz w:val="24"/>
                <w:szCs w:val="24"/>
              </w:rPr>
              <w:t>18.2 Coordenação do curso</w:t>
            </w:r>
            <w:r>
              <w:rPr>
                <w:webHidden/>
              </w:rPr>
              <w:fldChar w:fldCharType="begin"/>
            </w:r>
            <w:r>
              <w:rPr>
                <w:webHidden/>
              </w:rPr>
              <w:instrText>PAGEREF _Toc229667240 \h</w:instrText>
            </w:r>
            <w:r>
              <w:rPr>
                <w:webHidden/>
              </w:rPr>
              <w:fldChar w:fldCharType="separate"/>
            </w:r>
            <w:r>
              <w:rPr>
                <w:rStyle w:val="Vnculodendice"/>
                <w:rFonts w:cs="Times New Roman" w:ascii="Times New Roman" w:hAnsi="Times New Roman"/>
                <w:vanish w:val="false"/>
                <w:sz w:val="24"/>
                <w:szCs w:val="24"/>
              </w:rPr>
              <w:tab/>
              <w:t>31</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1">
            <w:r>
              <w:rPr>
                <w:webHidden/>
                <w:rStyle w:val="Vnculodendice"/>
                <w:rFonts w:cs="Times New Roman" w:ascii="Times New Roman" w:hAnsi="Times New Roman"/>
                <w:sz w:val="24"/>
                <w:szCs w:val="24"/>
              </w:rPr>
              <w:t>18.3 Titulação do corpo docente e regime de trabalho</w:t>
            </w:r>
            <w:r>
              <w:rPr>
                <w:webHidden/>
              </w:rPr>
              <w:fldChar w:fldCharType="begin"/>
            </w:r>
            <w:r>
              <w:rPr>
                <w:webHidden/>
              </w:rPr>
              <w:instrText>PAGEREF _Toc229667241 \h</w:instrText>
            </w:r>
            <w:r>
              <w:rPr>
                <w:webHidden/>
              </w:rPr>
              <w:fldChar w:fldCharType="separate"/>
            </w:r>
            <w:r>
              <w:rPr>
                <w:rStyle w:val="Vnculodendice"/>
                <w:rFonts w:cs="Times New Roman" w:ascii="Times New Roman" w:hAnsi="Times New Roman"/>
                <w:vanish w:val="false"/>
                <w:sz w:val="24"/>
                <w:szCs w:val="24"/>
              </w:rPr>
              <w:tab/>
              <w:t>32</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2">
            <w:r>
              <w:rPr>
                <w:webHidden/>
                <w:rStyle w:val="Vnculodendice"/>
                <w:rFonts w:cs="Times New Roman" w:ascii="Times New Roman" w:hAnsi="Times New Roman"/>
                <w:sz w:val="24"/>
                <w:szCs w:val="24"/>
              </w:rPr>
              <w:t>18.4 Corpo técnico</w:t>
            </w:r>
            <w:r>
              <w:rPr>
                <w:webHidden/>
              </w:rPr>
              <w:fldChar w:fldCharType="begin"/>
            </w:r>
            <w:r>
              <w:rPr>
                <w:webHidden/>
              </w:rPr>
              <w:instrText>PAGEREF _Toc229667242 \h</w:instrText>
            </w:r>
            <w:r>
              <w:rPr>
                <w:webHidden/>
              </w:rPr>
              <w:fldChar w:fldCharType="separate"/>
            </w:r>
            <w:r>
              <w:rPr>
                <w:rStyle w:val="Vnculodendice"/>
                <w:rFonts w:cs="Times New Roman" w:ascii="Times New Roman" w:hAnsi="Times New Roman"/>
                <w:vanish w:val="false"/>
                <w:sz w:val="24"/>
                <w:szCs w:val="24"/>
              </w:rPr>
              <w:tab/>
              <w:t>32</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3">
            <w:r>
              <w:rPr>
                <w:webHidden/>
                <w:rStyle w:val="Vnculodendice"/>
                <w:rFonts w:cs="Times New Roman" w:ascii="Times New Roman" w:hAnsi="Times New Roman"/>
                <w:sz w:val="24"/>
                <w:szCs w:val="24"/>
              </w:rPr>
              <w:t>18.5 Política de Qualificação de Docentes e Técnico-Administrativo da Unidade Acadêmica</w:t>
            </w:r>
            <w:r>
              <w:rPr>
                <w:webHidden/>
              </w:rPr>
              <w:fldChar w:fldCharType="begin"/>
            </w:r>
            <w:r>
              <w:rPr>
                <w:webHidden/>
              </w:rPr>
              <w:instrText>PAGEREF _Toc229667243 \h</w:instrText>
            </w:r>
            <w:r>
              <w:rPr>
                <w:webHidden/>
              </w:rPr>
              <w:fldChar w:fldCharType="separate"/>
            </w:r>
            <w:r>
              <w:rPr>
                <w:rStyle w:val="Vnculodendice"/>
                <w:rFonts w:cs="Times New Roman" w:ascii="Times New Roman" w:hAnsi="Times New Roman"/>
                <w:vanish w:val="false"/>
                <w:sz w:val="24"/>
                <w:szCs w:val="24"/>
              </w:rPr>
              <w:tab/>
              <w:t>33</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44">
            <w:r>
              <w:rPr>
                <w:webHidden/>
                <w:rStyle w:val="Vnculodendice"/>
                <w:rFonts w:cs="Times New Roman" w:ascii="Times New Roman" w:hAnsi="Times New Roman"/>
                <w:sz w:val="24"/>
                <w:szCs w:val="24"/>
              </w:rPr>
              <w:t>19 INFRAESTRUTURA FÍSICA E TECNOLÓGICA</w:t>
            </w:r>
            <w:r>
              <w:rPr>
                <w:webHidden/>
              </w:rPr>
              <w:fldChar w:fldCharType="begin"/>
            </w:r>
            <w:r>
              <w:rPr>
                <w:webHidden/>
              </w:rPr>
              <w:instrText>PAGEREF _Toc229667244 \h</w:instrText>
            </w:r>
            <w:r>
              <w:rPr>
                <w:webHidden/>
              </w:rPr>
              <w:fldChar w:fldCharType="separate"/>
            </w:r>
            <w:r>
              <w:rPr>
                <w:rStyle w:val="Vnculodendice"/>
                <w:rFonts w:cs="Times New Roman" w:ascii="Times New Roman" w:hAnsi="Times New Roman"/>
                <w:vanish w:val="false"/>
                <w:sz w:val="24"/>
                <w:szCs w:val="24"/>
              </w:rPr>
              <w:tab/>
              <w:t>33</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45">
            <w:r>
              <w:rPr>
                <w:webHidden/>
                <w:rStyle w:val="Vnculodendice"/>
                <w:rFonts w:cs="Times New Roman" w:ascii="Times New Roman" w:hAnsi="Times New Roman"/>
                <w:sz w:val="24"/>
                <w:szCs w:val="24"/>
              </w:rPr>
              <w:t>20 REQUISITOS LEGAIS E NORMATIVOS OBRIGATÓRIOS</w:t>
            </w:r>
            <w:r>
              <w:rPr>
                <w:webHidden/>
              </w:rPr>
              <w:fldChar w:fldCharType="begin"/>
            </w:r>
            <w:r>
              <w:rPr>
                <w:webHidden/>
              </w:rPr>
              <w:instrText>PAGEREF _Toc229667245 \h</w:instrText>
            </w:r>
            <w:r>
              <w:rPr>
                <w:webHidden/>
              </w:rPr>
              <w:fldChar w:fldCharType="separate"/>
            </w:r>
            <w:r>
              <w:rPr>
                <w:rStyle w:val="Vnculodendice"/>
                <w:rFonts w:cs="Times New Roman" w:ascii="Times New Roman" w:hAnsi="Times New Roman"/>
                <w:vanish w:val="false"/>
                <w:sz w:val="24"/>
                <w:szCs w:val="24"/>
              </w:rPr>
              <w:tab/>
              <w:t>35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6">
            <w:r>
              <w:rPr>
                <w:webHidden/>
                <w:rStyle w:val="Vnculodendice"/>
                <w:rFonts w:cs="Times New Roman" w:ascii="Times New Roman" w:hAnsi="Times New Roman"/>
                <w:sz w:val="24"/>
                <w:szCs w:val="24"/>
              </w:rPr>
              <w:t>20.1 Lei nº 9.394 de 20 de dezembro de 1996 – Lei de Diretrizes e Bases da Educação Nacional</w:t>
            </w:r>
            <w:r>
              <w:rPr>
                <w:webHidden/>
              </w:rPr>
              <w:fldChar w:fldCharType="begin"/>
            </w:r>
            <w:r>
              <w:rPr>
                <w:webHidden/>
              </w:rPr>
              <w:instrText>PAGEREF _Toc229667246 \h</w:instrText>
            </w:r>
            <w:r>
              <w:rPr>
                <w:webHidden/>
              </w:rPr>
              <w:fldChar w:fldCharType="separate"/>
            </w:r>
            <w:r>
              <w:rPr>
                <w:rStyle w:val="Vnculodendice"/>
                <w:rFonts w:cs="Times New Roman" w:ascii="Times New Roman" w:hAnsi="Times New Roman"/>
                <w:vanish w:val="false"/>
                <w:sz w:val="24"/>
                <w:szCs w:val="24"/>
              </w:rPr>
              <w:tab/>
              <w:t>35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7">
            <w:r>
              <w:rPr>
                <w:webHidden/>
                <w:rStyle w:val="Vnculodendice"/>
                <w:rFonts w:cs="Times New Roman" w:ascii="Times New Roman" w:hAnsi="Times New Roman"/>
                <w:sz w:val="24"/>
                <w:szCs w:val="24"/>
              </w:rPr>
              <w:t>20.2 Diretrizes Curriculares Nacionais do Curso</w:t>
            </w:r>
            <w:r>
              <w:rPr>
                <w:webHidden/>
              </w:rPr>
              <w:fldChar w:fldCharType="begin"/>
            </w:r>
            <w:r>
              <w:rPr>
                <w:webHidden/>
              </w:rPr>
              <w:instrText>PAGEREF _Toc229667247 \h</w:instrText>
            </w:r>
            <w:r>
              <w:rPr>
                <w:webHidden/>
              </w:rPr>
              <w:fldChar w:fldCharType="separate"/>
            </w:r>
            <w:r>
              <w:rPr>
                <w:rStyle w:val="Vnculodendice"/>
                <w:rFonts w:cs="Times New Roman" w:ascii="Times New Roman" w:hAnsi="Times New Roman"/>
                <w:vanish w:val="false"/>
                <w:sz w:val="24"/>
                <w:szCs w:val="24"/>
              </w:rPr>
              <w:tab/>
              <w:t>35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8">
            <w:r>
              <w:rPr>
                <w:webHidden/>
                <w:rStyle w:val="Vnculodendice"/>
                <w:rFonts w:cs="Times New Roman" w:ascii="Times New Roman" w:hAnsi="Times New Roman"/>
                <w:sz w:val="24"/>
                <w:szCs w:val="24"/>
              </w:rPr>
              <w:t>20.3 Diretrizes Curriculares Nacionais da Educação Básica e formação de professores</w:t>
            </w:r>
            <w:r>
              <w:rPr>
                <w:webHidden/>
              </w:rPr>
              <w:fldChar w:fldCharType="begin"/>
            </w:r>
            <w:r>
              <w:rPr>
                <w:webHidden/>
              </w:rPr>
              <w:instrText>PAGEREF _Toc229667248 \h</w:instrText>
            </w:r>
            <w:r>
              <w:rPr>
                <w:webHidden/>
              </w:rPr>
              <w:fldChar w:fldCharType="separate"/>
            </w:r>
            <w:r>
              <w:rPr>
                <w:rStyle w:val="Vnculodendice"/>
                <w:rFonts w:cs="Times New Roman" w:ascii="Times New Roman" w:hAnsi="Times New Roman"/>
                <w:vanish w:val="false"/>
                <w:sz w:val="24"/>
                <w:szCs w:val="24"/>
              </w:rPr>
              <w:tab/>
              <w:t>35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49">
            <w:r>
              <w:rPr>
                <w:webHidden/>
                <w:rStyle w:val="Vnculodendice"/>
                <w:rFonts w:cs="Times New Roman" w:ascii="Times New Roman" w:hAnsi="Times New Roman"/>
                <w:sz w:val="24"/>
                <w:szCs w:val="24"/>
              </w:rPr>
              <w:t>20.4 Diretrizes Curriculares Nacionais para Educação das Relações Étnico-Raciais e para o Ensino de História e Cultura Afro-Brasileira e Indígena</w:t>
            </w:r>
            <w:r>
              <w:rPr>
                <w:webHidden/>
              </w:rPr>
              <w:fldChar w:fldCharType="begin"/>
            </w:r>
            <w:r>
              <w:rPr>
                <w:webHidden/>
              </w:rPr>
              <w:instrText>PAGEREF _Toc229667249 \h</w:instrText>
            </w:r>
            <w:r>
              <w:rPr>
                <w:webHidden/>
              </w:rPr>
              <w:fldChar w:fldCharType="separate"/>
            </w:r>
            <w:r>
              <w:rPr>
                <w:rStyle w:val="Vnculodendice"/>
                <w:rFonts w:cs="Times New Roman" w:ascii="Times New Roman" w:hAnsi="Times New Roman"/>
                <w:vanish w:val="false"/>
                <w:sz w:val="24"/>
                <w:szCs w:val="24"/>
              </w:rPr>
              <w:tab/>
              <w:t>35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50">
            <w:r>
              <w:rPr>
                <w:webHidden/>
                <w:rStyle w:val="Vnculodendice"/>
                <w:rFonts w:cs="Times New Roman" w:ascii="Times New Roman" w:hAnsi="Times New Roman"/>
                <w:sz w:val="24"/>
                <w:szCs w:val="24"/>
              </w:rPr>
              <w:t>20.5 Diretrizes Nacionais para a Educação em Direitos Humanos</w:t>
            </w:r>
            <w:r>
              <w:rPr>
                <w:webHidden/>
              </w:rPr>
              <w:fldChar w:fldCharType="begin"/>
            </w:r>
            <w:r>
              <w:rPr>
                <w:webHidden/>
              </w:rPr>
              <w:instrText>PAGEREF _Toc229667250 \h</w:instrText>
            </w:r>
            <w:r>
              <w:rPr>
                <w:webHidden/>
              </w:rPr>
              <w:fldChar w:fldCharType="separate"/>
            </w:r>
            <w:r>
              <w:rPr>
                <w:rStyle w:val="Vnculodendice"/>
                <w:rFonts w:cs="Times New Roman" w:ascii="Times New Roman" w:hAnsi="Times New Roman"/>
                <w:vanish w:val="false"/>
                <w:sz w:val="24"/>
                <w:szCs w:val="24"/>
              </w:rPr>
              <w:tab/>
              <w:t>35</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51">
            <w:r>
              <w:rPr>
                <w:webHidden/>
                <w:rStyle w:val="Vnculodendice"/>
                <w:rFonts w:cs="Times New Roman" w:ascii="Times New Roman" w:hAnsi="Times New Roman"/>
                <w:sz w:val="24"/>
                <w:szCs w:val="24"/>
              </w:rPr>
              <w:t>20.6 Proteção dos Direitos da Pessoa com Transtorno do Espectro Autista</w:t>
            </w:r>
            <w:r>
              <w:rPr>
                <w:webHidden/>
              </w:rPr>
              <w:fldChar w:fldCharType="begin"/>
            </w:r>
            <w:r>
              <w:rPr>
                <w:webHidden/>
              </w:rPr>
              <w:instrText>PAGEREF _Toc229667251 \h</w:instrText>
            </w:r>
            <w:r>
              <w:rPr>
                <w:webHidden/>
              </w:rPr>
              <w:fldChar w:fldCharType="separate"/>
            </w:r>
            <w:r>
              <w:rPr>
                <w:rStyle w:val="Vnculodendice"/>
                <w:rFonts w:cs="Times New Roman" w:ascii="Times New Roman" w:hAnsi="Times New Roman"/>
                <w:vanish w:val="false"/>
                <w:sz w:val="24"/>
                <w:szCs w:val="24"/>
              </w:rPr>
              <w:tab/>
              <w:t>36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52">
            <w:r>
              <w:rPr>
                <w:webHidden/>
                <w:rStyle w:val="Vnculodendice"/>
                <w:rFonts w:cs="Times New Roman" w:ascii="Times New Roman" w:hAnsi="Times New Roman"/>
                <w:sz w:val="24"/>
                <w:szCs w:val="24"/>
              </w:rPr>
              <w:t>20.7 Língua Brasileira de Sinais - LIBRAS</w:t>
            </w:r>
            <w:r>
              <w:rPr>
                <w:webHidden/>
              </w:rPr>
              <w:fldChar w:fldCharType="begin"/>
            </w:r>
            <w:r>
              <w:rPr>
                <w:webHidden/>
              </w:rPr>
              <w:instrText>PAGEREF _Toc229667252 \h</w:instrText>
            </w:r>
            <w:r>
              <w:rPr>
                <w:webHidden/>
              </w:rPr>
              <w:fldChar w:fldCharType="separate"/>
            </w:r>
            <w:r>
              <w:rPr>
                <w:rStyle w:val="Vnculodendice"/>
                <w:rFonts w:cs="Times New Roman" w:ascii="Times New Roman" w:hAnsi="Times New Roman"/>
                <w:vanish w:val="false"/>
                <w:sz w:val="24"/>
                <w:szCs w:val="24"/>
              </w:rPr>
              <w:tab/>
              <w:t>36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53">
            <w:r>
              <w:rPr>
                <w:webHidden/>
                <w:rStyle w:val="Vnculodendice"/>
                <w:rFonts w:cs="Times New Roman" w:ascii="Times New Roman" w:hAnsi="Times New Roman"/>
                <w:sz w:val="24"/>
                <w:szCs w:val="24"/>
              </w:rPr>
              <w:t>20.8 Políticas de Educação Ambiental</w:t>
            </w:r>
            <w:r>
              <w:rPr>
                <w:webHidden/>
              </w:rPr>
              <w:fldChar w:fldCharType="begin"/>
            </w:r>
            <w:r>
              <w:rPr>
                <w:webHidden/>
              </w:rPr>
              <w:instrText>PAGEREF _Toc229667253 \h</w:instrText>
            </w:r>
            <w:r>
              <w:rPr>
                <w:webHidden/>
              </w:rPr>
              <w:fldChar w:fldCharType="separate"/>
            </w:r>
            <w:r>
              <w:rPr>
                <w:rStyle w:val="Vnculodendice"/>
                <w:rFonts w:cs="Times New Roman" w:ascii="Times New Roman" w:hAnsi="Times New Roman"/>
                <w:vanish w:val="false"/>
                <w:sz w:val="24"/>
                <w:szCs w:val="24"/>
              </w:rPr>
              <w:tab/>
              <w:t>36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54">
            <w:r>
              <w:rPr>
                <w:webHidden/>
                <w:rStyle w:val="Vnculodendice"/>
                <w:rFonts w:cs="Times New Roman" w:ascii="Times New Roman" w:hAnsi="Times New Roman"/>
                <w:sz w:val="24"/>
                <w:szCs w:val="24"/>
              </w:rPr>
              <w:t>20.9 Política de Atualização de Acervos Bibliográficos</w:t>
            </w:r>
            <w:r>
              <w:rPr>
                <w:webHidden/>
              </w:rPr>
              <w:fldChar w:fldCharType="begin"/>
            </w:r>
            <w:r>
              <w:rPr>
                <w:webHidden/>
              </w:rPr>
              <w:instrText>PAGEREF _Toc229667254 \h</w:instrText>
            </w:r>
            <w:r>
              <w:rPr>
                <w:webHidden/>
              </w:rPr>
              <w:fldChar w:fldCharType="separate"/>
            </w:r>
            <w:r>
              <w:rPr>
                <w:rStyle w:val="Vnculodendice"/>
                <w:rFonts w:cs="Times New Roman" w:ascii="Times New Roman" w:hAnsi="Times New Roman"/>
                <w:vanish w:val="false"/>
                <w:sz w:val="24"/>
                <w:szCs w:val="24"/>
              </w:rPr>
              <w:tab/>
              <w:t>36</w:t>
            </w:r>
            <w:r>
              <w:rPr>
                <w:webHidden/>
              </w:rPr>
              <w:fldChar w:fldCharType="end"/>
            </w:r>
          </w:hyperlink>
        </w:p>
        <w:p>
          <w:pPr>
            <w:pStyle w:val="Sumrio3"/>
            <w:tabs>
              <w:tab w:val="clear" w:pos="708"/>
              <w:tab w:val="right" w:pos="9628" w:leader="underscore"/>
            </w:tabs>
            <w:spacing w:lineRule="auto" w:line="276"/>
            <w:rPr>
              <w:rFonts w:ascii="Times New Roman" w:hAnsi="Times New Roman" w:eastAsia="" w:cs="Times New Roman" w:eastAsiaTheme="minorEastAsia"/>
              <w:kern w:val="2"/>
              <w:sz w:val="24"/>
              <w:szCs w:val="24"/>
              <w:lang w:val="pt-BR"/>
              <w14:ligatures w14:val="standardContextual"/>
            </w:rPr>
          </w:pPr>
          <w:hyperlink w:anchor="_Toc229667255">
            <w:r>
              <w:rPr>
                <w:webHidden/>
                <w:rStyle w:val="Vnculodendice"/>
                <w:rFonts w:cs="Times New Roman" w:ascii="Times New Roman" w:hAnsi="Times New Roman"/>
                <w:sz w:val="24"/>
                <w:szCs w:val="24"/>
              </w:rPr>
              <w:t>20.10 Condições de Acesso para Pessoas com Deficiência e/ou Mobilidade Reduzida</w:t>
            </w:r>
            <w:r>
              <w:rPr>
                <w:webHidden/>
              </w:rPr>
              <w:fldChar w:fldCharType="begin"/>
            </w:r>
            <w:r>
              <w:rPr>
                <w:webHidden/>
              </w:rPr>
              <w:instrText>PAGEREF _Toc229667255 \h</w:instrText>
            </w:r>
            <w:r>
              <w:rPr>
                <w:webHidden/>
              </w:rPr>
              <w:fldChar w:fldCharType="separate"/>
            </w:r>
            <w:r>
              <w:rPr>
                <w:rStyle w:val="Vnculodendice"/>
                <w:rFonts w:cs="Times New Roman" w:ascii="Times New Roman" w:hAnsi="Times New Roman"/>
                <w:vanish w:val="false"/>
                <w:sz w:val="24"/>
                <w:szCs w:val="24"/>
              </w:rPr>
              <w:tab/>
              <w:t>37</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56">
            <w:r>
              <w:rPr>
                <w:webHidden/>
                <w:rStyle w:val="Vnculodendice"/>
                <w:rFonts w:cs="Times New Roman" w:ascii="Times New Roman" w:hAnsi="Times New Roman"/>
                <w:sz w:val="24"/>
                <w:szCs w:val="24"/>
              </w:rPr>
              <w:t>21 EMENTAS, BIBLIOGRAFIAS BÁSICAS E COMPLEMENTARES DOS COMPONENTES CURRICULARES</w:t>
            </w:r>
            <w:r>
              <w:rPr>
                <w:webHidden/>
              </w:rPr>
              <w:fldChar w:fldCharType="begin"/>
            </w:r>
            <w:r>
              <w:rPr>
                <w:webHidden/>
              </w:rPr>
              <w:instrText>PAGEREF _Toc229667256 \h</w:instrText>
            </w:r>
            <w:r>
              <w:rPr>
                <w:webHidden/>
              </w:rPr>
              <w:fldChar w:fldCharType="separate"/>
            </w:r>
            <w:r>
              <w:rPr>
                <w:rStyle w:val="Vnculodendice"/>
                <w:rFonts w:cs="Times New Roman" w:ascii="Times New Roman" w:hAnsi="Times New Roman"/>
                <w:vanish w:val="false"/>
                <w:sz w:val="24"/>
                <w:szCs w:val="24"/>
              </w:rPr>
              <w:tab/>
              <w:t>37</w:t>
            </w:r>
            <w:r>
              <w:rPr>
                <w:webHidden/>
              </w:rPr>
              <w:fldChar w:fldCharType="end"/>
            </w:r>
          </w:hyperlink>
        </w:p>
        <w:p>
          <w:pPr>
            <w:pStyle w:val="Sumrio2"/>
            <w:tabs>
              <w:tab w:val="clear" w:pos="708"/>
              <w:tab w:val="right" w:pos="9628" w:leader="underscore"/>
            </w:tabs>
            <w:spacing w:lineRule="auto" w:line="276"/>
            <w:rPr>
              <w:rFonts w:ascii="Times New Roman" w:hAnsi="Times New Roman" w:eastAsia="" w:cs="Times New Roman" w:eastAsiaTheme="minorEastAsia"/>
              <w:b w:val="false"/>
              <w:b w:val="false"/>
              <w:bCs w:val="false"/>
              <w:kern w:val="2"/>
              <w:sz w:val="24"/>
              <w:szCs w:val="24"/>
              <w:lang w:val="pt-BR"/>
              <w14:ligatures w14:val="standardContextual"/>
            </w:rPr>
          </w:pPr>
          <w:hyperlink w:anchor="_Toc229667257">
            <w:r>
              <w:rPr>
                <w:webHidden/>
                <w:rStyle w:val="Vnculodendice"/>
                <w:rFonts w:cs="Times New Roman" w:ascii="Times New Roman" w:hAnsi="Times New Roman"/>
                <w:sz w:val="24"/>
                <w:szCs w:val="24"/>
              </w:rPr>
              <w:t>22 REFERÊNCIAS</w:t>
            </w:r>
            <w:r>
              <w:rPr>
                <w:webHidden/>
              </w:rPr>
              <w:fldChar w:fldCharType="begin"/>
            </w:r>
            <w:r>
              <w:rPr>
                <w:webHidden/>
              </w:rPr>
              <w:instrText>PAGEREF _Toc229667257 \h</w:instrText>
            </w:r>
            <w:r>
              <w:rPr>
                <w:webHidden/>
              </w:rPr>
              <w:fldChar w:fldCharType="separate"/>
            </w:r>
            <w:r>
              <w:rPr>
                <w:rStyle w:val="Vnculodendice"/>
                <w:rFonts w:cs="Times New Roman" w:ascii="Times New Roman" w:hAnsi="Times New Roman"/>
                <w:vanish w:val="false"/>
                <w:sz w:val="24"/>
                <w:szCs w:val="24"/>
              </w:rPr>
              <w:tab/>
              <w:t>41</w:t>
            </w:r>
            <w:r>
              <w:rPr>
                <w:webHidden/>
              </w:rPr>
              <w:fldChar w:fldCharType="end"/>
            </w:r>
          </w:hyperlink>
        </w:p>
        <w:p>
          <w:pPr>
            <w:pStyle w:val="Normal"/>
            <w:spacing w:lineRule="auto" w:line="276"/>
            <w:rPr/>
          </w:pPr>
          <w:r>
            <w:rPr/>
          </w:r>
          <w:r>
            <w:rPr/>
            <w:fldChar w:fldCharType="end"/>
          </w:r>
        </w:p>
      </w:sdtContent>
    </w:sdt>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pStyle w:val="Ttulo11"/>
        <w:rPr/>
      </w:pPr>
      <w:r>
        <w:rPr/>
      </w:r>
    </w:p>
    <w:p>
      <w:pPr>
        <w:sectPr>
          <w:headerReference w:type="default" r:id="rId5"/>
          <w:type w:val="nextPage"/>
          <w:pgSz w:w="11906" w:h="16838"/>
          <w:pgMar w:left="1134" w:right="1134" w:gutter="0" w:header="708" w:top="1134" w:footer="0" w:bottom="1134"/>
          <w:pgNumType w:fmt="decimal"/>
          <w:formProt w:val="false"/>
          <w:textDirection w:val="lrTb"/>
          <w:docGrid w:type="default" w:linePitch="360" w:charSpace="0"/>
        </w:sectPr>
      </w:pPr>
    </w:p>
    <w:p>
      <w:pPr>
        <w:pStyle w:val="Ttulo11"/>
        <w:ind w:left="0" w:hanging="0"/>
        <w:rPr/>
      </w:pPr>
      <w:r>
        <w:rPr/>
      </w:r>
    </w:p>
    <w:p>
      <w:pPr>
        <w:pStyle w:val="Ttulo11"/>
        <w:rPr/>
      </w:pPr>
      <w:bookmarkStart w:id="0" w:name="_Toc229667173"/>
      <w:r>
        <w:rPr/>
        <w:t>1 INTRODUÇÃO</w:t>
      </w:r>
      <w:bookmarkEnd w:id="0"/>
      <w:r>
        <w:rPr/>
        <w:t xml:space="preserve"> </w:t>
      </w:r>
    </w:p>
    <w:p>
      <w:pPr>
        <w:pStyle w:val="ListParagraph"/>
        <w:widowControl/>
        <w:spacing w:lineRule="auto" w:line="360"/>
        <w:ind w:left="0" w:firstLine="567"/>
        <w:rPr>
          <w:color w:val="EE0000"/>
          <w:sz w:val="24"/>
          <w:szCs w:val="24"/>
        </w:rPr>
      </w:pPr>
      <w:r>
        <w:rPr>
          <w:color w:val="EE0000"/>
          <w:sz w:val="24"/>
          <w:szCs w:val="24"/>
        </w:rPr>
        <w:t>Inserir algumas considerações gerais sobre o curso e o PPC.</w:t>
      </w:r>
    </w:p>
    <w:p>
      <w:pPr>
        <w:pStyle w:val="ListParagraph"/>
        <w:widowControl/>
        <w:spacing w:lineRule="auto" w:line="360"/>
        <w:ind w:left="0" w:firstLine="567"/>
        <w:rPr>
          <w:sz w:val="24"/>
          <w:szCs w:val="24"/>
        </w:rPr>
      </w:pPr>
      <w:r>
        <w:rPr>
          <w:sz w:val="24"/>
          <w:szCs w:val="24"/>
        </w:rPr>
      </w:r>
    </w:p>
    <w:p>
      <w:pPr>
        <w:pStyle w:val="Ttulo11"/>
        <w:rPr/>
      </w:pPr>
      <w:bookmarkStart w:id="1" w:name="_Toc229667174"/>
      <w:r>
        <w:rPr/>
        <w:t>2 APRESENTAÇÃO DO CURSO</w:t>
      </w:r>
      <w:bookmarkEnd w:id="1"/>
    </w:p>
    <w:p>
      <w:pPr>
        <w:pStyle w:val="Ttulo21"/>
        <w:rPr/>
      </w:pPr>
      <w:bookmarkStart w:id="2" w:name="_Toc229667175"/>
      <w:r>
        <w:rPr/>
        <w:t>2.1 Denominação do curso</w:t>
      </w:r>
      <w:bookmarkEnd w:id="2"/>
    </w:p>
    <w:p>
      <w:pPr>
        <w:pStyle w:val="ListParagraph"/>
        <w:widowControl/>
        <w:spacing w:lineRule="auto" w:line="360"/>
        <w:ind w:left="708" w:firstLine="708"/>
        <w:rPr>
          <w:color w:val="EE0000"/>
          <w:sz w:val="24"/>
          <w:szCs w:val="24"/>
        </w:rPr>
      </w:pPr>
      <w:r>
        <w:rPr>
          <w:color w:val="EE0000"/>
          <w:sz w:val="24"/>
          <w:szCs w:val="24"/>
        </w:rPr>
        <w:t>xxx</w:t>
      </w:r>
    </w:p>
    <w:p>
      <w:pPr>
        <w:pStyle w:val="Ttulo21"/>
        <w:rPr/>
      </w:pPr>
      <w:bookmarkStart w:id="3" w:name="_Toc229667176"/>
      <w:r>
        <w:rPr/>
        <w:t>2.2 Grau</w:t>
      </w:r>
      <w:bookmarkEnd w:id="3"/>
      <w:r>
        <w:rPr/>
        <w:t xml:space="preserve"> </w:t>
      </w:r>
    </w:p>
    <w:p>
      <w:pPr>
        <w:pStyle w:val="ListParagraph"/>
        <w:widowControl/>
        <w:spacing w:lineRule="auto" w:line="360"/>
        <w:ind w:left="708" w:firstLine="708"/>
        <w:rPr>
          <w:color w:val="EE0000"/>
          <w:sz w:val="24"/>
          <w:szCs w:val="24"/>
        </w:rPr>
      </w:pPr>
      <w:r>
        <w:rPr>
          <w:color w:val="EE0000"/>
          <w:sz w:val="24"/>
          <w:szCs w:val="24"/>
          <w:highlight w:val="yellow"/>
        </w:rPr>
        <w:t>Licenciatura</w:t>
      </w:r>
    </w:p>
    <w:p>
      <w:pPr>
        <w:pStyle w:val="Ttulo21"/>
        <w:rPr/>
      </w:pPr>
      <w:bookmarkStart w:id="4" w:name="_Toc229667177"/>
      <w:r>
        <w:rPr/>
        <w:t xml:space="preserve">2.3 Licenciado em </w:t>
      </w:r>
      <w:r>
        <w:rPr>
          <w:color w:val="EE0000"/>
        </w:rPr>
        <w:t>xxx</w:t>
      </w:r>
      <w:bookmarkEnd w:id="4"/>
    </w:p>
    <w:p>
      <w:pPr>
        <w:pStyle w:val="Ttulo21"/>
        <w:rPr/>
      </w:pPr>
      <w:bookmarkStart w:id="5" w:name="_Toc229667178"/>
      <w:r>
        <w:rPr/>
        <w:t>2.4 Código no e-MEC</w:t>
      </w:r>
      <w:bookmarkEnd w:id="5"/>
    </w:p>
    <w:p>
      <w:pPr>
        <w:pStyle w:val="ListParagraph"/>
        <w:widowControl/>
        <w:spacing w:lineRule="auto" w:line="360"/>
        <w:ind w:left="0" w:firstLine="567"/>
        <w:rPr>
          <w:color w:val="000000"/>
          <w:sz w:val="24"/>
          <w:szCs w:val="24"/>
        </w:rPr>
      </w:pPr>
      <w:r>
        <w:rPr>
          <w:color w:val="000000"/>
          <w:sz w:val="24"/>
          <w:szCs w:val="24"/>
        </w:rPr>
        <w:tab/>
        <w:tab/>
      </w:r>
      <w:r>
        <w:rPr>
          <w:color w:val="EE0000"/>
          <w:sz w:val="24"/>
          <w:szCs w:val="24"/>
        </w:rPr>
        <w:t xml:space="preserve">xxx </w:t>
      </w:r>
    </w:p>
    <w:p>
      <w:pPr>
        <w:pStyle w:val="Ttulo21"/>
        <w:rPr/>
      </w:pPr>
      <w:bookmarkStart w:id="6" w:name="_Toc229667179"/>
      <w:r>
        <w:rPr/>
        <w:t>2.5 Modalidade</w:t>
      </w:r>
      <w:bookmarkEnd w:id="6"/>
      <w:r>
        <w:rPr/>
        <w:t xml:space="preserve"> </w:t>
      </w:r>
    </w:p>
    <w:p>
      <w:pPr>
        <w:pStyle w:val="ListParagraph"/>
        <w:widowControl/>
        <w:spacing w:lineRule="auto" w:line="360"/>
        <w:ind w:left="0" w:firstLine="567"/>
        <w:rPr>
          <w:color w:val="000000"/>
          <w:sz w:val="24"/>
          <w:szCs w:val="24"/>
        </w:rPr>
      </w:pPr>
      <w:r>
        <w:rPr>
          <w:color w:val="000000"/>
          <w:sz w:val="24"/>
          <w:szCs w:val="24"/>
        </w:rPr>
        <w:tab/>
        <w:tab/>
      </w:r>
      <w:r>
        <w:rPr>
          <w:color w:val="EE0000"/>
          <w:sz w:val="24"/>
          <w:szCs w:val="24"/>
          <w:highlight w:val="yellow"/>
        </w:rPr>
        <w:t>Presencial</w:t>
      </w:r>
    </w:p>
    <w:p>
      <w:pPr>
        <w:pStyle w:val="Ttulo21"/>
        <w:rPr/>
      </w:pPr>
      <w:bookmarkStart w:id="7" w:name="_Toc229667180"/>
      <w:r>
        <w:rPr/>
        <w:t>2.6 Área de conhecimento</w:t>
      </w:r>
      <w:bookmarkEnd w:id="7"/>
    </w:p>
    <w:p>
      <w:pPr>
        <w:pStyle w:val="ListParagraph"/>
        <w:widowControl/>
        <w:spacing w:lineRule="auto" w:line="360"/>
        <w:ind w:left="0" w:firstLine="567"/>
        <w:rPr>
          <w:color w:val="EE0000"/>
          <w:sz w:val="24"/>
          <w:szCs w:val="24"/>
          <w:highlight w:val="yellow"/>
        </w:rPr>
      </w:pPr>
      <w:r>
        <w:rPr>
          <w:color w:val="000000"/>
          <w:sz w:val="24"/>
          <w:szCs w:val="24"/>
        </w:rPr>
        <w:tab/>
        <w:tab/>
      </w:r>
      <w:r>
        <w:rPr>
          <w:color w:val="EE0000"/>
          <w:sz w:val="24"/>
          <w:szCs w:val="24"/>
          <w:highlight w:val="yellow"/>
        </w:rPr>
        <w:t>xxx (CNPq)</w:t>
      </w:r>
    </w:p>
    <w:p>
      <w:pPr>
        <w:pStyle w:val="ListParagraph"/>
        <w:widowControl/>
        <w:spacing w:lineRule="auto" w:line="360"/>
        <w:ind w:left="0" w:firstLine="567"/>
        <w:rPr>
          <w:color w:val="EE0000"/>
          <w:sz w:val="24"/>
          <w:szCs w:val="24"/>
        </w:rPr>
      </w:pPr>
      <w:r>
        <w:rPr>
          <w:color w:val="EE0000"/>
          <w:sz w:val="24"/>
          <w:szCs w:val="24"/>
          <w:highlight w:val="yellow"/>
        </w:rPr>
        <w:tab/>
        <w:tab/>
        <w:t>Educação (Cine Brasil)</w:t>
      </w:r>
    </w:p>
    <w:p>
      <w:pPr>
        <w:pStyle w:val="Ttulo21"/>
        <w:rPr/>
      </w:pPr>
      <w:bookmarkStart w:id="8" w:name="_Toc229667181"/>
      <w:r>
        <w:rPr/>
        <w:t>2.7 Unidade acadêmica responsável</w:t>
      </w:r>
      <w:bookmarkEnd w:id="8"/>
    </w:p>
    <w:p>
      <w:pPr>
        <w:pStyle w:val="ListParagraph"/>
        <w:widowControl/>
        <w:spacing w:lineRule="auto" w:line="360"/>
        <w:ind w:left="0" w:firstLine="567"/>
        <w:jc w:val="both"/>
        <w:rPr>
          <w:color w:val="EE0000"/>
          <w:sz w:val="24"/>
          <w:szCs w:val="24"/>
        </w:rPr>
      </w:pPr>
      <w:r>
        <w:rPr>
          <w:color w:val="000000"/>
          <w:sz w:val="24"/>
          <w:szCs w:val="24"/>
        </w:rPr>
        <w:tab/>
        <w:tab/>
      </w:r>
      <w:r>
        <w:rPr>
          <w:color w:val="EE0000"/>
          <w:sz w:val="24"/>
          <w:szCs w:val="24"/>
        </w:rPr>
        <w:t xml:space="preserve">xxx </w:t>
      </w:r>
    </w:p>
    <w:p>
      <w:pPr>
        <w:pStyle w:val="Ttulo21"/>
        <w:rPr/>
      </w:pPr>
      <w:bookmarkStart w:id="9" w:name="_Toc229667182"/>
      <w:r>
        <w:rPr>
          <w:rStyle w:val="SubttuloChar"/>
          <w:rFonts w:cs="Times New Roman"/>
          <w:b/>
          <w:szCs w:val="24"/>
        </w:rPr>
        <w:t>2.8 Carga horária total</w:t>
      </w:r>
      <w:bookmarkEnd w:id="9"/>
      <w:r>
        <w:rPr/>
        <w:t xml:space="preserve"> </w:t>
      </w:r>
    </w:p>
    <w:p>
      <w:pPr>
        <w:pStyle w:val="ListParagraph"/>
        <w:widowControl/>
        <w:spacing w:lineRule="auto" w:line="360"/>
        <w:ind w:left="0" w:firstLine="567"/>
        <w:jc w:val="both"/>
        <w:rPr>
          <w:color w:val="000000"/>
          <w:sz w:val="24"/>
          <w:szCs w:val="24"/>
        </w:rPr>
      </w:pPr>
      <w:r>
        <w:rPr>
          <w:color w:val="EE0000"/>
          <w:sz w:val="24"/>
          <w:szCs w:val="24"/>
        </w:rPr>
        <w:t xml:space="preserve">(A carga horária do curso será definida em seu projeto pedagógico, segundo o que dispõem a Seção III, Capítulo I deste RGG, e poderá exceder em até no máximo 15% (quinze por cento) a carga horária mínima prevista em resoluções do CNE para cursos de graduação, salvo casos previstos na legislação vigente. Para fins de contagem da carga horária do curso, que trata o </w:t>
      </w:r>
      <w:r>
        <w:rPr>
          <w:i/>
          <w:iCs/>
          <w:color w:val="EE0000"/>
          <w:sz w:val="24"/>
          <w:szCs w:val="24"/>
        </w:rPr>
        <w:t xml:space="preserve">caput </w:t>
      </w:r>
      <w:r>
        <w:rPr>
          <w:color w:val="EE0000"/>
          <w:sz w:val="24"/>
          <w:szCs w:val="24"/>
        </w:rPr>
        <w:t>deste artigo, não serão consideradas as horas de ACs. A carga horária do curso prevista no PPC deverá ser mensurada em horas (sessenta minutos).</w:t>
      </w:r>
      <w:r>
        <w:rPr>
          <w:color w:val="000000"/>
          <w:sz w:val="24"/>
          <w:szCs w:val="24"/>
        </w:rPr>
        <w:t xml:space="preserve"> </w:t>
      </w:r>
    </w:p>
    <w:p>
      <w:pPr>
        <w:pStyle w:val="Ttulo21"/>
        <w:rPr/>
      </w:pPr>
      <w:bookmarkStart w:id="10" w:name="_Toc229667183"/>
      <w:r>
        <w:rPr/>
        <w:t>2.9 Número de vagas anuais</w:t>
      </w:r>
      <w:bookmarkEnd w:id="10"/>
    </w:p>
    <w:p>
      <w:pPr>
        <w:pStyle w:val="ListParagraph"/>
        <w:widowControl/>
        <w:spacing w:lineRule="auto" w:line="360"/>
        <w:ind w:left="0" w:firstLine="567"/>
        <w:jc w:val="both"/>
        <w:rPr>
          <w:color w:val="000000"/>
          <w:sz w:val="24"/>
          <w:szCs w:val="24"/>
        </w:rPr>
      </w:pPr>
      <w:r>
        <w:rPr>
          <w:color w:val="000000"/>
          <w:sz w:val="24"/>
          <w:szCs w:val="24"/>
        </w:rPr>
        <w:tab/>
        <w:tab/>
      </w:r>
      <w:r>
        <w:rPr>
          <w:color w:val="EE0000"/>
          <w:sz w:val="24"/>
          <w:szCs w:val="24"/>
          <w:highlight w:val="yellow"/>
        </w:rPr>
        <w:t>xx vagas</w:t>
      </w:r>
    </w:p>
    <w:p>
      <w:pPr>
        <w:pStyle w:val="Ttulo21"/>
        <w:rPr/>
      </w:pPr>
      <w:bookmarkStart w:id="11" w:name="_Toc229667184"/>
      <w:r>
        <w:rPr/>
        <w:t>2.10 Turno de oferta</w:t>
      </w:r>
      <w:bookmarkEnd w:id="11"/>
    </w:p>
    <w:p>
      <w:pPr>
        <w:pStyle w:val="ListParagraph"/>
        <w:widowControl/>
        <w:spacing w:lineRule="auto" w:line="360"/>
        <w:ind w:left="0" w:firstLine="567"/>
        <w:jc w:val="both"/>
        <w:rPr>
          <w:color w:val="000000"/>
          <w:sz w:val="24"/>
          <w:szCs w:val="24"/>
        </w:rPr>
      </w:pPr>
      <w:r>
        <w:rPr>
          <w:color w:val="000000"/>
          <w:sz w:val="24"/>
          <w:szCs w:val="24"/>
        </w:rPr>
        <w:tab/>
        <w:tab/>
      </w:r>
      <w:r>
        <w:rPr>
          <w:color w:val="EE0000"/>
          <w:sz w:val="24"/>
          <w:szCs w:val="24"/>
        </w:rPr>
        <w:t>xxx</w:t>
      </w:r>
    </w:p>
    <w:p>
      <w:pPr>
        <w:pStyle w:val="Ttulo21"/>
        <w:rPr/>
      </w:pPr>
      <w:bookmarkStart w:id="12" w:name="_Toc229667185"/>
      <w:r>
        <w:rPr>
          <w:rStyle w:val="SubttuloChar"/>
          <w:rFonts w:cs="Times New Roman"/>
          <w:b/>
          <w:szCs w:val="24"/>
        </w:rPr>
        <w:t>2.11 Tempo mínimo e máximo de integralização</w:t>
      </w:r>
      <w:bookmarkEnd w:id="12"/>
      <w:r>
        <w:rPr/>
        <w:t xml:space="preserve"> </w:t>
      </w:r>
    </w:p>
    <w:p>
      <w:pPr>
        <w:pStyle w:val="ListParagraph"/>
        <w:widowControl/>
        <w:spacing w:lineRule="auto" w:line="360"/>
        <w:ind w:left="0" w:firstLine="567"/>
        <w:jc w:val="both"/>
        <w:rPr>
          <w:color w:val="000000"/>
          <w:sz w:val="24"/>
          <w:szCs w:val="24"/>
        </w:rPr>
      </w:pPr>
      <w:r>
        <w:rPr>
          <w:color w:val="EE0000"/>
          <w:sz w:val="24"/>
          <w:szCs w:val="24"/>
        </w:rPr>
        <w:t>(O prazo máximo de integralização de cada curso é igual ao prazo regular de integralização mais 50%).</w:t>
      </w:r>
    </w:p>
    <w:p>
      <w:pPr>
        <w:pStyle w:val="Ttulo21"/>
        <w:rPr/>
      </w:pPr>
      <w:bookmarkStart w:id="13" w:name="_Toc229667186"/>
      <w:r>
        <w:rPr/>
        <w:t>2.12 Atos autorizativos do curso</w:t>
      </w:r>
      <w:bookmarkEnd w:id="13"/>
    </w:p>
    <w:p>
      <w:pPr>
        <w:pStyle w:val="ListParagraph"/>
        <w:widowControl/>
        <w:spacing w:lineRule="auto" w:line="360"/>
        <w:ind w:left="0" w:firstLine="567"/>
        <w:jc w:val="both"/>
        <w:rPr>
          <w:color w:val="EE0000"/>
          <w:sz w:val="24"/>
          <w:szCs w:val="24"/>
          <w:highlight w:val="yellow"/>
        </w:rPr>
      </w:pPr>
      <w:r>
        <w:rPr>
          <w:color w:val="EE0000"/>
          <w:sz w:val="24"/>
          <w:szCs w:val="24"/>
        </w:rPr>
        <w:tab/>
        <w:tab/>
      </w:r>
      <w:r>
        <w:rPr>
          <w:color w:val="EE0000"/>
          <w:sz w:val="24"/>
          <w:szCs w:val="24"/>
          <w:highlight w:val="yellow"/>
        </w:rPr>
        <w:t>xxxx</w:t>
      </w:r>
    </w:p>
    <w:p>
      <w:pPr>
        <w:pStyle w:val="ListParagraph"/>
        <w:widowControl/>
        <w:spacing w:lineRule="auto" w:line="360"/>
        <w:ind w:left="0" w:firstLine="567"/>
        <w:jc w:val="both"/>
        <w:rPr>
          <w:color w:val="EE0000"/>
          <w:sz w:val="24"/>
          <w:szCs w:val="24"/>
        </w:rPr>
      </w:pPr>
      <w:r>
        <w:rPr>
          <w:color w:val="EE0000"/>
          <w:sz w:val="24"/>
          <w:szCs w:val="24"/>
          <w:highlight w:val="yellow"/>
        </w:rPr>
        <w:tab/>
        <w:tab/>
        <w:t xml:space="preserve">xxx </w:t>
      </w:r>
    </w:p>
    <w:p>
      <w:pPr>
        <w:pStyle w:val="ListParagraph"/>
        <w:widowControl/>
        <w:spacing w:lineRule="auto" w:line="360"/>
        <w:ind w:left="0" w:firstLine="567"/>
        <w:jc w:val="both"/>
        <w:rPr>
          <w:color w:val="000000"/>
          <w:sz w:val="24"/>
          <w:szCs w:val="24"/>
        </w:rPr>
      </w:pPr>
      <w:r>
        <w:rPr>
          <w:color w:val="000000"/>
          <w:sz w:val="24"/>
          <w:szCs w:val="24"/>
        </w:rPr>
      </w:r>
    </w:p>
    <w:p>
      <w:pPr>
        <w:pStyle w:val="Ttulo11"/>
        <w:rPr/>
      </w:pPr>
      <w:bookmarkStart w:id="14" w:name="_Toc229667187"/>
      <w:r>
        <w:rPr/>
        <w:t>3 HISTÓRICO, CONTEXTUALIZAÇÃO INSTITUCIONAL E JUSTIFICATIVA</w:t>
      </w:r>
      <w:bookmarkEnd w:id="14"/>
    </w:p>
    <w:p>
      <w:pPr>
        <w:pStyle w:val="Ttulo21"/>
        <w:rPr/>
      </w:pPr>
      <w:bookmarkStart w:id="15" w:name="_Toc229667188"/>
      <w:r>
        <w:rPr/>
        <w:t>3.1 Histórico do curso</w:t>
      </w:r>
      <w:bookmarkEnd w:id="15"/>
      <w:r>
        <w:rPr/>
        <w:t xml:space="preserve"> </w:t>
      </w:r>
    </w:p>
    <w:p>
      <w:pPr>
        <w:pStyle w:val="ListParagraph"/>
        <w:widowControl/>
        <w:spacing w:lineRule="auto" w:line="360"/>
        <w:ind w:left="0" w:firstLine="567"/>
        <w:jc w:val="both"/>
        <w:rPr>
          <w:color w:val="EE0000"/>
          <w:sz w:val="24"/>
          <w:szCs w:val="24"/>
        </w:rPr>
      </w:pPr>
      <w:r>
        <w:rPr>
          <w:color w:val="EE0000"/>
          <w:sz w:val="24"/>
          <w:szCs w:val="24"/>
        </w:rPr>
        <w:t xml:space="preserve">Essa seção deve explicar por que o curso existe e em que contexto ele foi criado, os marcos de sua trajetória e sua inserção no contexto organizacional da UFJ. Em termos práticos, precisa demonstrar que o curso se alinha aos documentos institucionais como o PDI e PPI, bem como com a legislação vigente. Explicitar as demandas sociais, regionais e profissionais que justificam e motivaram sua criação e oferta, demonstrando sua relevância acadêmica, social e econômica. </w:t>
      </w:r>
    </w:p>
    <w:p>
      <w:pPr>
        <w:pStyle w:val="Ttulo21"/>
        <w:rPr/>
      </w:pPr>
      <w:bookmarkStart w:id="16" w:name="_Toc229667189"/>
      <w:r>
        <w:rPr/>
        <w:t>3.2 Contextualização institucional</w:t>
      </w:r>
      <w:bookmarkEnd w:id="16"/>
    </w:p>
    <w:p>
      <w:pPr>
        <w:pStyle w:val="NormalWeb"/>
        <w:spacing w:lineRule="auto" w:line="360" w:beforeAutospacing="0" w:before="0" w:afterAutospacing="0" w:after="0"/>
        <w:ind w:left="915" w:firstLine="567"/>
        <w:jc w:val="both"/>
        <w:rPr>
          <w:highlight w:val="yellow"/>
        </w:rPr>
      </w:pPr>
      <w:r>
        <w:rPr>
          <w:highlight w:val="yellow"/>
        </w:rPr>
        <w:t>A</w:t>
      </w:r>
      <w:r>
        <w:rPr>
          <w:rStyle w:val="Appleconvertedspace"/>
          <w:rFonts w:eastAsia="" w:eastAsiaTheme="majorEastAsia"/>
          <w:highlight w:val="yellow"/>
        </w:rPr>
        <w:t> </w:t>
      </w:r>
      <w:r>
        <w:rPr>
          <w:rStyle w:val="Whitespacenormal"/>
          <w:rFonts w:eastAsia="" w:eastAsiaTheme="majorEastAsia"/>
          <w:highlight w:val="yellow"/>
        </w:rPr>
        <w:t>Universidade Federal de Jataí</w:t>
      </w:r>
      <w:r>
        <w:rPr>
          <w:highlight w:val="yellow"/>
        </w:rPr>
        <w:t>, localizada no município de</w:t>
      </w:r>
      <w:r>
        <w:rPr>
          <w:rStyle w:val="Appleconvertedspace"/>
          <w:rFonts w:eastAsia="" w:eastAsiaTheme="majorEastAsia"/>
          <w:highlight w:val="yellow"/>
        </w:rPr>
        <w:t> </w:t>
      </w:r>
      <w:r>
        <w:rPr>
          <w:rStyle w:val="Whitespacenormal"/>
          <w:rFonts w:eastAsia="" w:eastAsiaTheme="majorEastAsia"/>
          <w:highlight w:val="yellow"/>
        </w:rPr>
        <w:t>Jataí</w:t>
      </w:r>
      <w:r>
        <w:rPr>
          <w:highlight w:val="yellow"/>
        </w:rPr>
        <w:t>, no sudoeste do estado de</w:t>
      </w:r>
      <w:r>
        <w:rPr>
          <w:rStyle w:val="Appleconvertedspace"/>
          <w:rFonts w:eastAsia="" w:eastAsiaTheme="majorEastAsia"/>
          <w:highlight w:val="yellow"/>
        </w:rPr>
        <w:t> </w:t>
      </w:r>
      <w:r>
        <w:rPr>
          <w:rStyle w:val="Whitespacenormal"/>
          <w:rFonts w:eastAsia="" w:eastAsiaTheme="majorEastAsia"/>
          <w:highlight w:val="yellow"/>
        </w:rPr>
        <w:t>Goiás</w:t>
      </w:r>
      <w:r>
        <w:rPr>
          <w:highlight w:val="yellow"/>
        </w:rPr>
        <w:t>, constitui-se como uma instituição pública de ensino superior cuja trajetória está profundamente vinculada ao processo de interiorização e democratização do acesso à educação superior no Brasil. Sua origem remonta à implantação de unidades descentralizadas da</w:t>
      </w:r>
      <w:r>
        <w:rPr>
          <w:rStyle w:val="Appleconvertedspace"/>
          <w:rFonts w:eastAsia="" w:eastAsiaTheme="majorEastAsia"/>
          <w:highlight w:val="yellow"/>
        </w:rPr>
        <w:t> </w:t>
      </w:r>
      <w:r>
        <w:rPr>
          <w:rStyle w:val="Whitespacenormal"/>
          <w:rFonts w:eastAsia="" w:eastAsiaTheme="majorEastAsia"/>
          <w:highlight w:val="yellow"/>
        </w:rPr>
        <w:t>Universidade Federal de Goiás</w:t>
      </w:r>
      <w:r>
        <w:rPr>
          <w:rStyle w:val="Appleconvertedspace"/>
          <w:rFonts w:eastAsia="" w:eastAsiaTheme="majorEastAsia"/>
          <w:highlight w:val="yellow"/>
        </w:rPr>
        <w:t> </w:t>
      </w:r>
      <w:r>
        <w:rPr>
          <w:highlight w:val="yellow"/>
        </w:rPr>
        <w:t>na região, inicialmente organizadas como campus avançado, com a finalidade de atender às demandas educacionais, sociais e econômicas de uma área caracterizada por forte dinamismo agropecuário e crescente urbanização.</w:t>
      </w:r>
    </w:p>
    <w:p>
      <w:pPr>
        <w:pStyle w:val="NormalWeb"/>
        <w:spacing w:lineRule="auto" w:line="360" w:beforeAutospacing="0" w:before="0" w:afterAutospacing="0" w:after="0"/>
        <w:ind w:left="915" w:firstLine="567"/>
        <w:jc w:val="both"/>
        <w:rPr>
          <w:highlight w:val="yellow"/>
        </w:rPr>
      </w:pPr>
      <w:r>
        <w:rPr>
          <w:highlight w:val="yellow"/>
        </w:rPr>
        <w:t>A consolidação do então campus da UFG em Jataí ocorreu ao longo das décadas seguintes, com a ampliação da oferta de cursos de graduação, a estruturação de atividades de pesquisa e extensão e o fortalecimento de sua inserção regional. Nesse período, a instituição desempenhou papel estratégico na formação de recursos humanos qualificados, contribuindo diretamente para o desenvolvimento local e regional, sobretudo nos setores ligados ao agronegócio, à educação básica, à saúde e à gestão pública. A atuação acadêmica articulada com as demandas territoriais permitiu à instituição estabelecer vínculos sólidos com a sociedade, reafirmando sua função social enquanto promotora do desenvolvimento sustentável e da inclusão social.</w:t>
      </w:r>
    </w:p>
    <w:p>
      <w:pPr>
        <w:pStyle w:val="NormalWeb"/>
        <w:spacing w:lineRule="auto" w:line="360" w:beforeAutospacing="0" w:before="0" w:afterAutospacing="0" w:after="0"/>
        <w:ind w:left="915" w:firstLine="567"/>
        <w:jc w:val="both"/>
        <w:rPr>
          <w:highlight w:val="yellow"/>
        </w:rPr>
      </w:pPr>
      <w:r>
        <w:rPr>
          <w:highlight w:val="yellow"/>
        </w:rPr>
        <w:t>No contexto das políticas públicas de expansão e reestruturação das universidades federais, a Regional Jataí da UFG passou por um processo de fortalecimento institucional que culminou em sua emancipação administrativa. A criação da</w:t>
      </w:r>
      <w:r>
        <w:rPr>
          <w:rStyle w:val="Appleconvertedspace"/>
          <w:rFonts w:eastAsia="" w:eastAsiaTheme="majorEastAsia"/>
          <w:highlight w:val="yellow"/>
        </w:rPr>
        <w:t> </w:t>
      </w:r>
      <w:r>
        <w:rPr>
          <w:rStyle w:val="Whitespacenormal"/>
          <w:rFonts w:eastAsia="" w:eastAsiaTheme="majorEastAsia"/>
          <w:highlight w:val="yellow"/>
        </w:rPr>
        <w:t>Universidade Federal de Jataí</w:t>
      </w:r>
      <w:r>
        <w:rPr>
          <w:highlight w:val="yellow"/>
        </w:rPr>
        <w:t>, formalizada no âmbito da</w:t>
      </w:r>
      <w:r>
        <w:rPr>
          <w:rStyle w:val="Appleconvertedspace"/>
          <w:rFonts w:eastAsia="" w:eastAsiaTheme="majorEastAsia"/>
          <w:highlight w:val="yellow"/>
        </w:rPr>
        <w:t> </w:t>
      </w:r>
      <w:r>
        <w:rPr>
          <w:rStyle w:val="Whitespacenormal"/>
          <w:rFonts w:eastAsia="" w:eastAsiaTheme="majorEastAsia"/>
          <w:highlight w:val="yellow"/>
        </w:rPr>
        <w:t>Lei nº 13.635 de 2018</w:t>
      </w:r>
      <w:r>
        <w:rPr>
          <w:highlight w:val="yellow"/>
        </w:rPr>
        <w:t>, representou um marco histórico para a região sudoeste de Goiás, conferindo autonomia acadêmica, administrativa e financeira à instituição. Tal processo possibilitou a redefinição de suas diretrizes estratégicas, com maior aderência às especificidades regionais e às demandas contemporâneas da educação superior.</w:t>
      </w:r>
    </w:p>
    <w:p>
      <w:pPr>
        <w:pStyle w:val="NormalWeb"/>
        <w:spacing w:lineRule="auto" w:line="360" w:beforeAutospacing="0" w:before="0" w:afterAutospacing="0" w:after="0"/>
        <w:ind w:left="915" w:firstLine="567"/>
        <w:jc w:val="both"/>
        <w:rPr>
          <w:highlight w:val="yellow"/>
        </w:rPr>
      </w:pPr>
      <w:r>
        <w:rPr>
          <w:highlight w:val="yellow"/>
        </w:rPr>
        <w:t xml:space="preserve">No plano institucional, a UFJ orienta suas ações a partir de sua missão de produzir, sistematizar e socializar conhecimentos, formando profissionais críticos e comprometidos com o desenvolvimento social, econômico e ambiental. Sua visão institucional projeta o reconhecimento como universidade pública de referência regional e nacional, pautada pela excelência acadêmica, inovação e impacto social. Seus valores fundamentam-se na ética, na transparência, na gestão democrática, na inclusão social, no respeito à diversidade e no compromisso com a sustentabilidade. Esses princípios estão diretamente articulados aos instrumentos de planejamento institucional, notadamente o Plano de Desenvolvimento Institucional (PDI) e o Projeto Pedagógico Institucional (PPI), os quais orientam a organização acadêmica, administrativa e pedagógica da universidade. </w:t>
      </w:r>
    </w:p>
    <w:p>
      <w:pPr>
        <w:pStyle w:val="NormalWeb"/>
        <w:spacing w:lineRule="auto" w:line="360" w:beforeAutospacing="0" w:before="0" w:afterAutospacing="0" w:after="0"/>
        <w:ind w:left="915" w:firstLine="567"/>
        <w:jc w:val="both"/>
        <w:rPr/>
      </w:pPr>
      <w:r>
        <w:rPr>
          <w:highlight w:val="yellow"/>
        </w:rPr>
        <w:t>Atualmente, a</w:t>
      </w:r>
      <w:r>
        <w:rPr>
          <w:rStyle w:val="Appleconvertedspace"/>
          <w:rFonts w:eastAsia="" w:eastAsiaTheme="majorEastAsia"/>
          <w:highlight w:val="yellow"/>
        </w:rPr>
        <w:t> </w:t>
      </w:r>
      <w:r>
        <w:rPr>
          <w:rStyle w:val="Whitespacenormal"/>
          <w:rFonts w:eastAsia="" w:eastAsiaTheme="majorEastAsia"/>
          <w:highlight w:val="yellow"/>
        </w:rPr>
        <w:t>UFJ</w:t>
      </w:r>
      <w:r>
        <w:rPr>
          <w:rStyle w:val="Appleconvertedspace"/>
          <w:rFonts w:eastAsia="" w:eastAsiaTheme="majorEastAsia"/>
          <w:highlight w:val="yellow"/>
        </w:rPr>
        <w:t> </w:t>
      </w:r>
      <w:r>
        <w:rPr>
          <w:highlight w:val="yellow"/>
        </w:rPr>
        <w:t>se apresenta como uma universidade em fase de consolidação institucional, orientada por princípios de excelência acadêmica, inclusão social e compromisso com o desenvolvimento regional. Sua inserção no território é evidenciada pela diversidade de cursos ofertados, pela produção científica em áreas estratégicas e pela execução de projetos de extensão que dialogam diretamente com os desafios locais e regionais. Ademais, a universidade tem ampliado sua atuação na pós-graduação, fortalecendo grupos de pesquisa e redes de colaboração interinstitucionais. A consolidação de sua identidade institucional, enquanto universidade autônoma, está intrinsecamente associada à sua capacidade de responder, de forma crítica e inovadora, às demandas da sociedade, contribuindo para a produção de conhecimento, a formação cidadã e o desenvolvimento sustentável da região.</w:t>
      </w:r>
    </w:p>
    <w:p>
      <w:pPr>
        <w:pStyle w:val="Ttulo21"/>
        <w:rPr/>
      </w:pPr>
      <w:bookmarkStart w:id="17" w:name="_Toc229667190"/>
      <w:r>
        <w:rPr/>
        <w:t>3.3 Marco motivacional</w:t>
      </w:r>
      <w:bookmarkEnd w:id="17"/>
    </w:p>
    <w:p>
      <w:pPr>
        <w:pStyle w:val="ListParagraph"/>
        <w:widowControl/>
        <w:spacing w:lineRule="auto" w:line="360"/>
        <w:ind w:left="0" w:firstLine="567"/>
        <w:jc w:val="both"/>
        <w:rPr>
          <w:color w:val="EE0000"/>
          <w:sz w:val="24"/>
          <w:szCs w:val="24"/>
        </w:rPr>
      </w:pPr>
      <w:r>
        <w:rPr>
          <w:color w:val="EE0000"/>
          <w:sz w:val="24"/>
          <w:szCs w:val="24"/>
        </w:rPr>
        <w:t xml:space="preserve">Apresentar a demanda e pertinência do curso, se possível com estudos diagnósticos e de potencial. Relacionar com as tendências científicas, tecnológicas, de inovação, com os aspectos sociais, econômicos, de diversidade e ambientais da região de inserção. Apresentar indicadores educacionais relevantes. É fundamental estruturar parte do texto explorando a justificativa social com impacto local e regional do curso e sua contribuição para inclusão, equidade, diversidade e o atendimento de demandas específicas. Explicitar a base legal, sobretudo se houver uma proposta de atualização motivada também pela atualização de normativas legais. Justificar do ponto de visto acadêmico a relevância científica do curso, sua contribuição para produção de conhecimento em diversos níveis, inovação, desenvolvimento e sustentabilidade. Explorar os diferenciais do curso como integração, interdisciplinaridade e outras articulações. Este item precisa apresentar evidências empíricas como dados socioeconômicos, arranjos produtivos locais e demandas regionais com demonstração de impacto social e científico. </w:t>
      </w:r>
    </w:p>
    <w:p>
      <w:pPr>
        <w:pStyle w:val="ListParagraph"/>
        <w:widowControl/>
        <w:spacing w:lineRule="auto" w:line="360"/>
        <w:ind w:left="0" w:firstLine="567"/>
        <w:jc w:val="both"/>
        <w:rPr>
          <w:color w:val="EE0000"/>
          <w:sz w:val="24"/>
          <w:szCs w:val="24"/>
        </w:rPr>
      </w:pPr>
      <w:r>
        <w:rPr>
          <w:color w:val="EE0000"/>
          <w:sz w:val="24"/>
          <w:szCs w:val="24"/>
        </w:rPr>
        <w:t>Inserir justificativas que explicitem maior demanda por formação docente com competências em equidade, inclusão e diversidade. Destacar a necessidade de competências em Tecnologias Digitais da Informação e Comunicação (TDIC) e computação na docência e incluir itens que foquem ainda que não seja de forma central, temas como a formação para sustentabilidade e responsabilidade social e ainda a gestão educacional. Se possível, prever uso de indicadores educacionais regionais como evidências da demanda do curso além do uso de dados como IDEB, evasão escolar regional, inclusão escolar, acesso digital.</w:t>
      </w:r>
    </w:p>
    <w:p>
      <w:pPr>
        <w:pStyle w:val="ListParagraph"/>
        <w:widowControl/>
        <w:spacing w:lineRule="auto" w:line="360"/>
        <w:ind w:left="0" w:firstLine="567"/>
        <w:jc w:val="both"/>
        <w:rPr>
          <w:color w:val="222222"/>
          <w:sz w:val="24"/>
          <w:szCs w:val="24"/>
        </w:rPr>
      </w:pPr>
      <w:r>
        <w:rPr>
          <w:color w:val="222222"/>
          <w:sz w:val="24"/>
          <w:szCs w:val="24"/>
        </w:rPr>
      </w:r>
    </w:p>
    <w:p>
      <w:pPr>
        <w:pStyle w:val="Ttulo11"/>
        <w:rPr/>
      </w:pPr>
      <w:bookmarkStart w:id="18" w:name="_Toc229667191"/>
      <w:r>
        <w:rPr/>
        <w:t>4 PRINCIPIOS NORTEADORES PARA A FORMAÇÃO PROFISSIONAL</w:t>
      </w:r>
      <w:bookmarkEnd w:id="18"/>
    </w:p>
    <w:p>
      <w:pPr>
        <w:pStyle w:val="ListParagraph"/>
        <w:widowControl/>
        <w:spacing w:lineRule="auto" w:line="360"/>
        <w:ind w:left="0" w:firstLine="567"/>
        <w:jc w:val="both"/>
        <w:rPr>
          <w:bCs/>
          <w:color w:val="EE0000"/>
          <w:sz w:val="24"/>
          <w:szCs w:val="24"/>
        </w:rPr>
      </w:pPr>
      <w:r>
        <w:rPr>
          <w:bCs/>
          <w:color w:val="EE0000"/>
          <w:sz w:val="24"/>
          <w:szCs w:val="24"/>
        </w:rPr>
        <w:t>Trata-se de uma parte muito importante do PPC, pois descreve os valores científicos, humanos e sociais nos quais o curso se assenta e busca no percurso formativo. Este tópico deve demonstrar clara aderência ao PDI e PPI, onde estão elencados os princípios institucionais estabelecidos pela UFJ. É importante observar tais princípios para garantir que os princípios do curso estejam alinhados aos da UFJ, dado que o curso pertence a essa IES e então deve estar em consonância com tal. O texto deve contemplar que o curso tem como princípio o respeito às diferenças e à diversidade humana, detacando o combate à indiferença, a discriminação, o preconceito, a injustiça e os rótulos em relação a toda e qualquer pessoa. Lembrando que documentos como a Lei brasileira de inclusão da pessoa com deficiência (Lei n. 13.146 de 6 de julho de 2015) e demais documentos pertinentes devem ser utilizados para embasamento e citados. Ainda, devem ser consultadas as diretrizes e resoluções do curso para descrever cada um dos itens abaixo relacionados. Explicitar claramente a articulação entre os componentes curriculares no percurso de formação. Utilizar as DCNs do curso, as resoluções e acrescentar o contexto local.</w:t>
      </w:r>
    </w:p>
    <w:p>
      <w:pPr>
        <w:pStyle w:val="ListParagraph"/>
        <w:spacing w:lineRule="auto" w:line="360"/>
        <w:ind w:left="0" w:firstLine="567"/>
        <w:jc w:val="both"/>
        <w:rPr>
          <w:color w:val="EE0000"/>
          <w:sz w:val="24"/>
          <w:szCs w:val="24"/>
          <w:lang w:val="pt-BR"/>
        </w:rPr>
      </w:pPr>
      <w:r>
        <w:rPr>
          <w:color w:val="EE0000"/>
          <w:sz w:val="24"/>
          <w:szCs w:val="24"/>
          <w:lang w:val="pt-BR"/>
        </w:rPr>
        <w:t xml:space="preserve">O que o indicador 1.1.-Políticas institucionais no âmbito do curso (IACG, 2017) pede para que a nota dada pelo avaliador seja máxima no indicador (nota 5): </w:t>
      </w:r>
      <w:r>
        <w:rPr>
          <w:bCs/>
          <w:color w:val="EE0000"/>
          <w:sz w:val="24"/>
          <w:szCs w:val="24"/>
          <w:lang w:val="pt-BR"/>
        </w:rPr>
        <w:t>As políticas institucionais de ensino, extensão e pesquisa (quando for o caso), constantes no PDI, estão implantadas no âmbito do curso e claramente voltadas para a promoção de oportunidades de aprendizagem alinhadas ao perfil do egresso, adotando-se práticas comprovadamente exitosas ou inovadoras para a sua revisão.</w:t>
      </w:r>
    </w:p>
    <w:p>
      <w:pPr>
        <w:pStyle w:val="Ttulo21"/>
        <w:rPr/>
      </w:pPr>
      <w:bookmarkStart w:id="19" w:name="_Toc229667192"/>
      <w:r>
        <w:rPr/>
        <w:t>4.1 Marco referencial</w:t>
      </w:r>
      <w:bookmarkEnd w:id="19"/>
      <w:r>
        <w:rPr/>
        <w:t xml:space="preserve"> </w:t>
      </w:r>
    </w:p>
    <w:p>
      <w:pPr>
        <w:pStyle w:val="ListParagraph"/>
        <w:widowControl/>
        <w:spacing w:lineRule="auto" w:line="360"/>
        <w:ind w:left="0" w:firstLine="567"/>
        <w:jc w:val="both"/>
        <w:rPr>
          <w:bCs/>
          <w:color w:val="EE0000"/>
          <w:sz w:val="24"/>
          <w:szCs w:val="24"/>
        </w:rPr>
      </w:pPr>
      <w:r>
        <w:rPr>
          <w:bCs/>
          <w:color w:val="EE0000"/>
          <w:sz w:val="24"/>
          <w:szCs w:val="24"/>
        </w:rPr>
        <w:t>Também conhecido como marco conceitual, tem o termo busca como palavra-chave. Esse item tem a intenção de mostrar aquilo que o curso pretende, ou seja, de que forma pretende-se contribuir para a formação de profissionais, que tipo de profissional o curso pretende formar com base em todo um contexto social, político e econômico na região onde esta inserido.</w:t>
      </w:r>
    </w:p>
    <w:p>
      <w:pPr>
        <w:pStyle w:val="ListParagraph"/>
        <w:widowControl/>
        <w:spacing w:lineRule="auto" w:line="360"/>
        <w:ind w:left="0" w:firstLine="567"/>
        <w:jc w:val="both"/>
        <w:rPr>
          <w:color w:val="000000"/>
          <w:sz w:val="24"/>
          <w:szCs w:val="24"/>
        </w:rPr>
      </w:pPr>
      <w:r>
        <w:rPr>
          <w:bCs/>
          <w:color w:val="EE0000"/>
          <w:sz w:val="24"/>
          <w:szCs w:val="24"/>
          <w:lang w:val="pt-BR"/>
        </w:rPr>
        <w:t>Redigir um texto que inclua a formação docente orientada por equidade, inclusão e diversidade, domínio crítico e aplicado de Libras, além do uso pedagógico de TDIC e atuação em gestão educacional. Sugerir itens como a inovação e empreendedorismo educacional, e previsão de uma formação orientada por evidências educacionais e compromisso com monitoramento de resultados formativos do curso. Não se esquecer que o próximo tópico (</w:t>
      </w:r>
      <w:r>
        <w:rPr>
          <w:color w:val="EE0000"/>
          <w:sz w:val="24"/>
          <w:szCs w:val="24"/>
        </w:rPr>
        <w:t>4.2 Marco operativo) deve estar alinhado com essa proposta e deve esclarecer os meios pelos quais essa formação docente orientada será alcançada a partir das ferramentas que o curso irá oferecer aos seus estudantes.</w:t>
      </w:r>
    </w:p>
    <w:p>
      <w:pPr>
        <w:pStyle w:val="Ttulo21"/>
        <w:rPr/>
      </w:pPr>
      <w:bookmarkStart w:id="20" w:name="_Toc229667193"/>
      <w:r>
        <w:rPr/>
        <w:t>4.2 Marco operativo</w:t>
      </w:r>
      <w:bookmarkEnd w:id="20"/>
      <w:r>
        <w:rPr/>
        <w:t xml:space="preserve"> </w:t>
      </w:r>
    </w:p>
    <w:p>
      <w:pPr>
        <w:pStyle w:val="ListParagraph"/>
        <w:widowControl/>
        <w:spacing w:lineRule="auto" w:line="360"/>
        <w:ind w:left="0" w:firstLine="567"/>
        <w:jc w:val="both"/>
        <w:rPr>
          <w:bCs/>
          <w:color w:val="EE0000"/>
          <w:sz w:val="24"/>
          <w:szCs w:val="24"/>
        </w:rPr>
      </w:pPr>
      <w:r>
        <w:rPr>
          <w:bCs/>
          <w:color w:val="EE0000"/>
          <w:sz w:val="24"/>
          <w:szCs w:val="24"/>
        </w:rPr>
        <w:t>Trazer as ações a serem desenvolvidas para alcance dos objetivos pretendidos, deve apresentar</w:t>
      </w:r>
      <w:r>
        <w:rPr>
          <w:b/>
          <w:bCs/>
          <w:color w:val="EE0000"/>
          <w:sz w:val="24"/>
          <w:szCs w:val="24"/>
        </w:rPr>
        <w:t xml:space="preserve"> </w:t>
      </w:r>
      <w:r>
        <w:rPr>
          <w:bCs/>
          <w:color w:val="EE0000"/>
          <w:sz w:val="24"/>
          <w:szCs w:val="24"/>
        </w:rPr>
        <w:t>as propostas e linhas de ação, enfrentamentos e organização do curso. Explicitar os mecanismos institucionais, pedagógicos e administrativos que viabilizam a implementação do PPC.</w:t>
      </w:r>
    </w:p>
    <w:p>
      <w:pPr>
        <w:pStyle w:val="ListParagraph"/>
        <w:widowControl/>
        <w:spacing w:lineRule="auto" w:line="360"/>
        <w:ind w:left="0" w:firstLine="567"/>
        <w:jc w:val="both"/>
        <w:rPr>
          <w:bCs/>
          <w:color w:val="EE0000"/>
          <w:sz w:val="24"/>
          <w:szCs w:val="24"/>
        </w:rPr>
      </w:pPr>
      <w:r>
        <w:rPr>
          <w:bCs/>
          <w:color w:val="EE0000"/>
          <w:sz w:val="24"/>
          <w:szCs w:val="24"/>
        </w:rPr>
        <w:t>Recomenda-se indicar como se dará o planejamento para oferta de componentes curriculares, acompanhamento das atividades docentes e discentes, articulação entre os diversos instrumentos e instâncias acadêmicas. Evidenciar a função do NDE, da coordenação do curso e do colegiado no acompanhamento da tomada de decisões para o desenvolvimento do PPC.</w:t>
      </w:r>
    </w:p>
    <w:p>
      <w:pPr>
        <w:pStyle w:val="ListParagraph"/>
        <w:widowControl/>
        <w:spacing w:lineRule="auto" w:line="360"/>
        <w:ind w:left="0" w:firstLine="567"/>
        <w:jc w:val="both"/>
        <w:rPr>
          <w:bCs/>
          <w:color w:val="EE0000"/>
          <w:sz w:val="24"/>
          <w:szCs w:val="24"/>
        </w:rPr>
      </w:pPr>
      <w:r>
        <w:rPr>
          <w:bCs/>
          <w:color w:val="EE0000"/>
          <w:sz w:val="24"/>
          <w:szCs w:val="24"/>
        </w:rPr>
        <w:t xml:space="preserve">É pertinente relatar os mecanismos de acompanhamento do curso (autoavaliação, análise de indicadores, planejamento estratégico) e integração dos dados coletados com a realidade proposta, explicitando a existência de um planejamento contínuo para execução e aprimoramento da proposta pedagógica. Considerar linhas que estimulem a cultura de gestão por indicadores tais como os dados da CPA, ENADE e outros relatórios institucionais que permitam levantar informações e trabalhar tais dados de modo sistemático. Monitorar, gestão por indicadores, evidências e planejamento são conceitos interessantes para se explorar neste tópico. </w:t>
      </w:r>
    </w:p>
    <w:p>
      <w:pPr>
        <w:pStyle w:val="Ttulo21"/>
        <w:rPr/>
      </w:pPr>
      <w:bookmarkStart w:id="21" w:name="_Toc229667194"/>
      <w:r>
        <w:rPr/>
        <w:t>4.3 Prática profissional</w:t>
      </w:r>
      <w:bookmarkEnd w:id="21"/>
    </w:p>
    <w:p>
      <w:pPr>
        <w:pStyle w:val="ListParagraph"/>
        <w:widowControl/>
        <w:spacing w:lineRule="auto" w:line="360"/>
        <w:ind w:left="0" w:firstLine="567"/>
        <w:jc w:val="both"/>
        <w:rPr>
          <w:color w:val="EE0000"/>
          <w:sz w:val="24"/>
          <w:szCs w:val="24"/>
        </w:rPr>
      </w:pPr>
      <w:r>
        <w:rPr>
          <w:color w:val="EE0000"/>
          <w:sz w:val="24"/>
          <w:szCs w:val="24"/>
        </w:rPr>
        <w:t xml:space="preserve">Este item deve descrever como o curso promove a articulação entre os conhecimentos teóricos e sua aplicação em contextos reais ou simulados da atuação profissional, evidenciando a integração entre a formação acadêmica e o exercício profissional. Deve destacar estratégias pedagógicas que possibilitem o estudante vivenciar situações relacionadas ao campo de atuação ao longo do processo formativo. </w:t>
      </w:r>
    </w:p>
    <w:p>
      <w:pPr>
        <w:pStyle w:val="ListParagraph"/>
        <w:widowControl/>
        <w:spacing w:lineRule="auto" w:line="360"/>
        <w:ind w:left="0" w:firstLine="567"/>
        <w:jc w:val="both"/>
        <w:rPr>
          <w:color w:val="EE0000"/>
          <w:sz w:val="24"/>
          <w:szCs w:val="24"/>
        </w:rPr>
      </w:pPr>
      <w:r>
        <w:rPr>
          <w:color w:val="EE0000"/>
          <w:sz w:val="24"/>
          <w:szCs w:val="24"/>
        </w:rPr>
        <w:t>Levando em consideração a dimensão específica da Educação no instrumento de avaliação, é indispensável que o texto aborde temas atuais que preparem o estudante para vivenciar a profissão nos contextos relacionados a equidade na prática docente, conhecimentos e competências na gestão educacional e em computação relacionado a prática docente.</w:t>
      </w:r>
    </w:p>
    <w:p>
      <w:pPr>
        <w:pStyle w:val="ListParagraph"/>
        <w:widowControl/>
        <w:spacing w:lineRule="auto" w:line="360"/>
        <w:ind w:left="0" w:firstLine="567"/>
        <w:jc w:val="both"/>
        <w:rPr>
          <w:color w:val="EE0000"/>
          <w:sz w:val="24"/>
          <w:szCs w:val="24"/>
        </w:rPr>
      </w:pPr>
      <w:r>
        <w:rPr>
          <w:color w:val="EE0000"/>
          <w:sz w:val="24"/>
          <w:szCs w:val="24"/>
        </w:rPr>
        <w:t xml:space="preserve">Neste sentido, deve-se explicar como a prática profissional está inserida na estrutura curricular, abordando a matriz de componentes como as disciplinas, atividades de campo e/ou laboratório, estudos de caso, projetos, metodologias ativas diversas e outras situações que simulem a prática profissional. </w:t>
      </w:r>
    </w:p>
    <w:p>
      <w:pPr>
        <w:pStyle w:val="ListParagraph"/>
        <w:widowControl/>
        <w:spacing w:lineRule="auto" w:line="360"/>
        <w:ind w:left="0" w:firstLine="567"/>
        <w:jc w:val="both"/>
        <w:rPr>
          <w:color w:val="EE0000"/>
          <w:sz w:val="24"/>
          <w:szCs w:val="24"/>
        </w:rPr>
      </w:pPr>
      <w:r>
        <w:rPr>
          <w:color w:val="EE0000"/>
          <w:sz w:val="24"/>
          <w:szCs w:val="24"/>
        </w:rPr>
        <w:t xml:space="preserve">É importante também evidenciar a relação entre as práticas profissionais e o perfil do egresso pretendido, demonstrando com tais atividades somam para contribuir para o desenvolvimento das competências e habilidades previstas no PPC. Citar elementos como estágio, atividades de extensão, projetos de pesquisa e parcerias externas que possibilitem experiências profissionais no decorrer da formação do estudante. </w:t>
      </w:r>
    </w:p>
    <w:p>
      <w:pPr>
        <w:pStyle w:val="ListParagraph"/>
        <w:widowControl/>
        <w:spacing w:lineRule="auto" w:line="360"/>
        <w:ind w:left="0" w:firstLine="567"/>
        <w:jc w:val="both"/>
        <w:rPr>
          <w:color w:val="EE0000"/>
          <w:sz w:val="24"/>
          <w:szCs w:val="24"/>
        </w:rPr>
      </w:pPr>
      <w:r>
        <w:rPr>
          <w:color w:val="EE0000"/>
          <w:sz w:val="24"/>
          <w:szCs w:val="24"/>
        </w:rPr>
        <w:t>Prever como o curso irá avaliar as práticas por meio de indicadores de competências. Por fim, deve-se explicitar como essas atividades são acompanhadas e avaliadas e como se dá o aprimoramento das mesmas, definindo critérios e instrumentos para coleta e análise de dados, assegurando a efetividade das atividades no processo formativo, sempre alinhado ao perfil esperado do egresso.</w:t>
      </w:r>
    </w:p>
    <w:p>
      <w:pPr>
        <w:pStyle w:val="Ttulo21"/>
        <w:rPr/>
      </w:pPr>
      <w:bookmarkStart w:id="22" w:name="_Toc229667195"/>
      <w:r>
        <w:rPr/>
        <w:t>4.4 Articulação entre teoria e prática</w:t>
      </w:r>
      <w:bookmarkEnd w:id="22"/>
      <w:r>
        <w:rPr/>
        <w:t xml:space="preserve"> </w:t>
      </w:r>
    </w:p>
    <w:p>
      <w:pPr>
        <w:pStyle w:val="ListParagraph"/>
        <w:widowControl/>
        <w:spacing w:lineRule="auto" w:line="360"/>
        <w:ind w:left="0" w:firstLine="567"/>
        <w:jc w:val="both"/>
        <w:rPr>
          <w:bCs/>
          <w:color w:val="EE0000"/>
          <w:sz w:val="24"/>
          <w:szCs w:val="24"/>
          <w:lang w:val="pt-BR"/>
        </w:rPr>
      </w:pPr>
      <w:r>
        <w:rPr>
          <w:bCs/>
          <w:color w:val="EE0000"/>
          <w:sz w:val="24"/>
          <w:szCs w:val="24"/>
        </w:rPr>
        <w:t xml:space="preserve">Mencionar o tripé ensino-pesquisa-extensão em sua articulação da teoria com a prática, na integração ensino e serviço. A articulação entre teoria e a prática profissional faz parte das diretrizes curriculares nacionais como um todo. </w:t>
      </w:r>
      <w:r>
        <w:rPr>
          <w:bCs/>
          <w:color w:val="EE0000"/>
          <w:sz w:val="24"/>
          <w:szCs w:val="24"/>
          <w:lang w:val="pt-BR"/>
        </w:rPr>
        <w:t>Observações: Para cursos de licenciatura, especialmente, o Instrumento de Avaliação de Cursos de Graduação do INEP (2017) avalia tal relação no indicador 1.9- Estágio curricular supervisionado – relação teoria e prática.</w:t>
      </w:r>
    </w:p>
    <w:p>
      <w:pPr>
        <w:pStyle w:val="ListParagraph"/>
        <w:widowControl/>
        <w:spacing w:lineRule="auto" w:line="360"/>
        <w:ind w:left="0" w:firstLine="567"/>
        <w:jc w:val="both"/>
        <w:rPr>
          <w:bCs/>
          <w:color w:val="EE0000"/>
          <w:sz w:val="24"/>
          <w:szCs w:val="24"/>
          <w:lang w:val="pt-BR"/>
        </w:rPr>
      </w:pPr>
      <w:r>
        <w:rPr>
          <w:bCs/>
          <w:color w:val="EE0000"/>
          <w:sz w:val="24"/>
          <w:szCs w:val="24"/>
          <w:lang w:val="pt-BR"/>
        </w:rPr>
        <w:t>Ressalta-se novamente a importância de citar quais as estratégias propostas pelo curso para fomentar a inclusão, equidade, temas atuais como meio ambiente, direitos humanos, usos de TDCI no ensino em situações reais, além do monitoramento da efetividade da articulação teoria-prática, utilizando evidências como avaliações de estágio e práticas pedagógicas.</w:t>
      </w:r>
    </w:p>
    <w:p>
      <w:pPr>
        <w:pStyle w:val="ListParagraph"/>
        <w:widowControl/>
        <w:spacing w:lineRule="auto" w:line="360"/>
        <w:ind w:left="0" w:firstLine="567"/>
        <w:jc w:val="both"/>
        <w:rPr>
          <w:bCs/>
          <w:color w:val="EE0000"/>
          <w:sz w:val="24"/>
          <w:szCs w:val="24"/>
        </w:rPr>
      </w:pPr>
      <w:r>
        <w:rPr>
          <w:bCs/>
          <w:color w:val="EE0000"/>
          <w:sz w:val="24"/>
          <w:szCs w:val="24"/>
          <w:lang w:val="pt-BR"/>
        </w:rPr>
        <w:t xml:space="preserve">Esclarecer como o curso trabalha as práticas e explicitar que antes dos “estágios formais” os estudantes são incluídos em práticas modo a experimentar uma imersão progressiva da realidade escolar dentro de atividades diversas. </w:t>
      </w:r>
    </w:p>
    <w:p>
      <w:pPr>
        <w:pStyle w:val="ListParagraph"/>
        <w:spacing w:lineRule="auto" w:line="360"/>
        <w:ind w:left="0" w:firstLine="567"/>
        <w:jc w:val="both"/>
        <w:rPr>
          <w:bCs/>
          <w:color w:val="EE0000"/>
          <w:sz w:val="24"/>
          <w:szCs w:val="24"/>
          <w:lang w:val="pt-BR"/>
        </w:rPr>
      </w:pPr>
      <w:r>
        <w:rPr>
          <w:bCs/>
          <w:color w:val="EE0000"/>
          <w:sz w:val="24"/>
          <w:szCs w:val="24"/>
          <w:lang w:val="pt-BR"/>
        </w:rPr>
        <w:t>Para nota 5. O estágio curricular supervisionado promove a relação teoria e prática e contempla a articulação entre o currículo do curso e aspectos práticos da Educação Básica, o embasamento teórico das atividades planejadas no campo da prática, a participação do licenciando em atividades de planejamento, desenvolvimento e avaliação realizadas pelos docentes da Educação Básica, a reflexão teórica acerca de situações vivenciadas pelos licenciandos, a criação e divulgação de produtos que articulam e sistematizam a relação teoria e prática, com atividades comprovadamente exitosas ou inovadoras.</w:t>
      </w:r>
    </w:p>
    <w:p>
      <w:pPr>
        <w:pStyle w:val="Ttulo21"/>
        <w:rPr/>
      </w:pPr>
      <w:bookmarkStart w:id="23" w:name="_Toc229667196"/>
      <w:r>
        <w:rPr/>
        <w:t>4.5 Formação ética do profissional</w:t>
      </w:r>
      <w:bookmarkEnd w:id="23"/>
      <w:r>
        <w:rPr/>
        <w:t xml:space="preserve"> </w:t>
      </w:r>
    </w:p>
    <w:p>
      <w:pPr>
        <w:pStyle w:val="ListParagraph"/>
        <w:widowControl/>
        <w:spacing w:lineRule="auto" w:line="360"/>
        <w:ind w:left="0" w:firstLine="567"/>
        <w:jc w:val="both"/>
        <w:rPr>
          <w:bCs/>
          <w:color w:val="EE0000"/>
          <w:sz w:val="24"/>
          <w:szCs w:val="24"/>
        </w:rPr>
      </w:pPr>
      <w:r>
        <w:rPr>
          <w:bCs/>
          <w:color w:val="EE0000"/>
          <w:sz w:val="24"/>
          <w:szCs w:val="24"/>
        </w:rPr>
        <w:t>O item deve explicitar como o curso promove o desenvolvimento de valores, atitudes e princípios que orientem a atuação responsável do egresso no campo profissional e na sociedade. Recomenda-se incorporar como o tripé ensino-pesquisa-extensão pode ser utilizado para fomentar a ética durante o desenvolvimento acadêmico e que será um tema tratado de modo transversal e contínuo no currículo aparecendo na construção de componentes curriculares, projetos integradores, discussões, práticas e outras ações que fomentem a crítica sobre responsabilidade social, cidadania, sustentabilidade, diversidade, direitos humanos e respeito.</w:t>
      </w:r>
    </w:p>
    <w:p>
      <w:pPr>
        <w:pStyle w:val="ListParagraph"/>
        <w:widowControl/>
        <w:spacing w:lineRule="auto" w:line="360"/>
        <w:ind w:left="0" w:firstLine="567"/>
        <w:jc w:val="both"/>
        <w:rPr>
          <w:bCs/>
          <w:color w:val="EE0000"/>
          <w:sz w:val="24"/>
          <w:szCs w:val="24"/>
        </w:rPr>
      </w:pPr>
      <w:r>
        <w:rPr>
          <w:bCs/>
          <w:color w:val="EE0000"/>
          <w:sz w:val="24"/>
          <w:szCs w:val="24"/>
        </w:rPr>
        <w:t>Abordar práticas extensionistas, projetos interdisciplinares e outras atividades com foco orientado no debate e análise de situações-problema. Amarrar a formação ética e cidadã aos objetivos do curso com o perfil esperado do egresso e as competências profissionais.</w:t>
      </w:r>
    </w:p>
    <w:p>
      <w:pPr>
        <w:pStyle w:val="Ttulo21"/>
        <w:rPr/>
      </w:pPr>
      <w:bookmarkStart w:id="24" w:name="_Toc229667197"/>
      <w:r>
        <w:rPr/>
        <w:t>4.6 Inserção social</w:t>
      </w:r>
      <w:bookmarkEnd w:id="24"/>
    </w:p>
    <w:p>
      <w:pPr>
        <w:pStyle w:val="ListParagraph"/>
        <w:widowControl/>
        <w:spacing w:lineRule="auto" w:line="360"/>
        <w:ind w:left="0" w:firstLine="567"/>
        <w:jc w:val="both"/>
        <w:rPr>
          <w:bCs/>
          <w:color w:val="EE0000"/>
          <w:sz w:val="24"/>
          <w:szCs w:val="24"/>
        </w:rPr>
      </w:pPr>
      <w:r>
        <w:rPr>
          <w:bCs/>
          <w:color w:val="EE0000"/>
          <w:sz w:val="24"/>
          <w:szCs w:val="24"/>
        </w:rPr>
        <w:t>Considerar as particularidades epistemológicas, formativas e sociais de cada área. Explorar o impacto regional e contribuição social do curso. Termos como equidade, inclusão e diversidade são chaves neste item e devem ser utilizados em articulação com a realidade social atual, sobretudo com a contribuição do curso. Citar projetos com impacto social comprovado, como demandas regionais/locais podem ser atendidas e a coerência entre a formação acadêmica e as necessidades da sociedade. Novamente se pautar na cultura de gestão de indicadores e, sempre que possível, incluir dados sobre o impacto regional na inclusão educacional com base nas ações propostas e desenvolvidas em projetos, parcerias e público beneficiado. Usar relatórios e indicadores.</w:t>
      </w:r>
    </w:p>
    <w:p>
      <w:pPr>
        <w:pStyle w:val="Ttulo21"/>
        <w:rPr/>
      </w:pPr>
      <w:bookmarkStart w:id="25" w:name="_Toc229667198"/>
      <w:r>
        <w:rPr/>
        <w:t>4.7 Interdisciplinaridade</w:t>
      </w:r>
      <w:bookmarkEnd w:id="25"/>
    </w:p>
    <w:p>
      <w:pPr>
        <w:pStyle w:val="ListParagraph"/>
        <w:widowControl/>
        <w:spacing w:lineRule="auto" w:line="360"/>
        <w:ind w:left="0" w:firstLine="567"/>
        <w:jc w:val="both"/>
        <w:rPr>
          <w:bCs/>
          <w:color w:val="EE0000"/>
          <w:sz w:val="24"/>
          <w:szCs w:val="24"/>
        </w:rPr>
      </w:pPr>
      <w:r>
        <w:rPr>
          <w:color w:val="EE0000"/>
          <w:sz w:val="24"/>
          <w:szCs w:val="24"/>
          <w:lang w:val="pt-BR"/>
        </w:rPr>
        <w:t xml:space="preserve">Neste item o curso deve descrever como a interdisciplinaridade se dá. Deve-se exemplificar os modos de implementação da flexibilidade e da interdisciplinaridade/transdisciplinaridade ao longo da formação. Atualização científica, tecnológica e metodológica da área associadas as particularidades formativas da área. </w:t>
      </w:r>
    </w:p>
    <w:p>
      <w:pPr>
        <w:pStyle w:val="Normal"/>
        <w:spacing w:lineRule="auto" w:line="360"/>
        <w:ind w:left="915" w:firstLine="567"/>
        <w:jc w:val="both"/>
        <w:rPr>
          <w:bCs/>
          <w:color w:val="EE0000"/>
          <w:sz w:val="24"/>
          <w:szCs w:val="24"/>
        </w:rPr>
      </w:pPr>
      <w:r>
        <w:rPr>
          <w:bCs/>
          <w:color w:val="EE0000"/>
          <w:sz w:val="24"/>
          <w:szCs w:val="24"/>
        </w:rPr>
        <w:t>De acordo com o Instrumento de Avaliação de Cursos de Graduação do INEP (2017): “Interdisciplinaridade é a concepção epistemológica do saber na qual as disciplinas são colocadas em relação, com o objetivo de proporcionar olhares distintos sobre o mesmo problema, visando a criar soluções que integrem teoria e prática, de modo a romper com a fragmentação no processo de construção do conhecimento.”</w:t>
      </w:r>
    </w:p>
    <w:p>
      <w:pPr>
        <w:pStyle w:val="Ttulo21"/>
        <w:rPr/>
      </w:pPr>
      <w:bookmarkStart w:id="26" w:name="_Toc229667199"/>
      <w:r>
        <w:rPr/>
        <w:t>4.8 Integração ensino, pesquisa e extensão</w:t>
      </w:r>
      <w:bookmarkEnd w:id="26"/>
    </w:p>
    <w:p>
      <w:pPr>
        <w:pStyle w:val="Normal"/>
        <w:spacing w:lineRule="auto" w:line="360"/>
        <w:ind w:left="915" w:firstLine="567"/>
        <w:jc w:val="both"/>
        <w:rPr>
          <w:color w:val="EE0000"/>
          <w:sz w:val="24"/>
          <w:szCs w:val="24"/>
          <w:lang w:val="pt-BR"/>
        </w:rPr>
      </w:pPr>
      <w:r>
        <w:rPr>
          <w:color w:val="EE0000"/>
          <w:sz w:val="24"/>
          <w:szCs w:val="24"/>
          <w:lang w:val="pt-BR"/>
        </w:rPr>
        <w:t>Neste item deve-se especificar as políticas de ensino, extensão e pesquisa possíveis de serem implantadas no âmbito do curso, em consonância com o PDI da UFJ.</w:t>
      </w:r>
    </w:p>
    <w:p>
      <w:pPr>
        <w:pStyle w:val="Normal"/>
        <w:spacing w:lineRule="auto" w:line="360"/>
        <w:ind w:left="915" w:firstLine="567"/>
        <w:jc w:val="both"/>
        <w:rPr>
          <w:color w:val="EE0000"/>
          <w:sz w:val="24"/>
          <w:szCs w:val="24"/>
          <w:lang w:val="pt-BR"/>
        </w:rPr>
      </w:pPr>
      <w:r>
        <w:rPr>
          <w:color w:val="EE0000"/>
          <w:sz w:val="24"/>
          <w:szCs w:val="24"/>
          <w:lang w:val="pt-BR"/>
        </w:rPr>
        <w:t>Descrever como ocorre a relação do ensino com a pesquisa e a extensão no desenvolvimento das atividades curriculares do curso. Para as ações extensionistas, demonstrar a interação entre o conhecimento científico produzido na universidade e sua interface com a comunidade. Já para as ações de pesquisa apontar as linhas e grupos de pesquisa e suas articulações com o ensino e a extensão. Importante destacar, quando houver, os Programas de Educação Tutorial – PET. Citar os programas de iniciação à pesquisa, tecnologia e extensão, editais de extensão e a Resolução de integração da Graduação com a Pós-Graduação.</w:t>
      </w:r>
    </w:p>
    <w:p>
      <w:pPr>
        <w:pStyle w:val="Normal"/>
        <w:spacing w:lineRule="auto" w:line="360"/>
        <w:ind w:left="915" w:firstLine="567"/>
        <w:jc w:val="both"/>
        <w:rPr>
          <w:color w:val="EE0000"/>
          <w:sz w:val="24"/>
          <w:szCs w:val="24"/>
          <w:lang w:val="pt-BR"/>
        </w:rPr>
      </w:pPr>
      <w:r>
        <w:rPr>
          <w:color w:val="EE0000"/>
          <w:sz w:val="24"/>
          <w:szCs w:val="24"/>
          <w:lang w:val="pt-BR"/>
        </w:rPr>
        <w:t>De acordo com o IACG p.44 (2017), “atividades de pesquisa são atividades desenvolvidas em grupos de pesquisa institucionalizados, organizadas por cursos de graduação e de pós-graduação, seguindo a política das IES”</w:t>
      </w:r>
    </w:p>
    <w:p>
      <w:pPr>
        <w:pStyle w:val="Normal"/>
        <w:spacing w:lineRule="auto" w:line="360"/>
        <w:ind w:left="915" w:firstLine="567"/>
        <w:jc w:val="both"/>
        <w:rPr>
          <w:color w:val="EE0000"/>
          <w:sz w:val="24"/>
          <w:szCs w:val="24"/>
          <w:lang w:val="pt-BR"/>
        </w:rPr>
      </w:pPr>
      <w:r>
        <w:rPr>
          <w:color w:val="EE0000"/>
          <w:sz w:val="24"/>
          <w:szCs w:val="24"/>
          <w:lang w:val="pt-BR"/>
        </w:rPr>
        <w:t>De acordo com o IACG p.46 (2017), “extensão é o processo interdisciplinar educativo que promove a interação entre IES e outros setores da sociedade, aplicando o desenvolvimento científico e tecnológico junto aos agentes do meio externo.”</w:t>
      </w:r>
    </w:p>
    <w:p>
      <w:pPr>
        <w:pStyle w:val="Normal"/>
        <w:spacing w:lineRule="auto" w:line="360"/>
        <w:ind w:left="915" w:firstLine="567"/>
        <w:jc w:val="both"/>
        <w:rPr>
          <w:color w:val="EE0000"/>
          <w:sz w:val="24"/>
          <w:szCs w:val="24"/>
          <w:lang w:val="pt-BR"/>
        </w:rPr>
      </w:pPr>
      <w:r>
        <w:rPr>
          <w:color w:val="EE0000"/>
          <w:sz w:val="24"/>
          <w:szCs w:val="24"/>
          <w:lang w:val="pt-BR"/>
        </w:rPr>
        <w:t>Este item soma com a nova proposta de avaliação, integrando a dimensão 4. Será necessário expor quais as reais iniciativas de integração entre os três pilares, não apenas em seu aspecto formal ou esperado. Quais estratégias de fato são previstas e implementadas no currículo para proporcionar a integração e consequente vivencia dos discentes. Inclusão, diversidade e sociedade são elementos chave para assegurar o atendimento das expectativas para boa avaliação.</w:t>
      </w:r>
    </w:p>
    <w:p>
      <w:pPr>
        <w:pStyle w:val="Ttulo21"/>
        <w:rPr/>
      </w:pPr>
      <w:bookmarkStart w:id="27" w:name="_Toc229667200"/>
      <w:r>
        <w:rPr/>
        <w:t>4.9 Atividades acadêmicas articuladas ao ensino de graduação</w:t>
      </w:r>
      <w:bookmarkEnd w:id="27"/>
    </w:p>
    <w:p>
      <w:pPr>
        <w:pStyle w:val="ListParagraph"/>
        <w:spacing w:lineRule="auto" w:line="360"/>
        <w:ind w:left="0" w:firstLine="567"/>
        <w:jc w:val="both"/>
        <w:rPr>
          <w:color w:val="EE0000"/>
          <w:sz w:val="24"/>
          <w:szCs w:val="24"/>
          <w:lang w:val="pt-BR"/>
        </w:rPr>
      </w:pPr>
      <w:r>
        <w:rPr>
          <w:color w:val="EE0000"/>
          <w:sz w:val="24"/>
          <w:szCs w:val="24"/>
          <w:lang w:val="pt-BR"/>
        </w:rPr>
        <w:t>Citar e descrever as atividades acadêmicas articuladas ao ensino de graduação implantadas no curso. Práticas inovadoras, estratégias de ensino como ligas acadêmicas, grupos de estudo, mentorias e tutorias...</w:t>
      </w:r>
    </w:p>
    <w:p>
      <w:pPr>
        <w:pStyle w:val="ListParagraph"/>
        <w:spacing w:lineRule="auto" w:line="360"/>
        <w:ind w:left="0" w:firstLine="567"/>
        <w:jc w:val="both"/>
        <w:rPr>
          <w:color w:val="EE0000"/>
          <w:sz w:val="24"/>
          <w:szCs w:val="24"/>
          <w:lang w:val="pt-BR"/>
        </w:rPr>
      </w:pPr>
      <w:r>
        <w:rPr>
          <w:color w:val="EE0000"/>
          <w:sz w:val="24"/>
          <w:szCs w:val="24"/>
          <w:lang w:val="pt-BR"/>
        </w:rPr>
        <w:t>De acordo com o IACG p.9 (2017), “Políticas institucionais no âmbito do curso constantes no Plano de Desenvolvimento institucional– PDI envolvendo Ensino, pesquisa, extensão voltadas para a promoção de oportunidades de aprendizagem alinhadas ao perfil do egresso – com práticas comprovadamente exitosas e/ou inovadoras”</w:t>
      </w:r>
    </w:p>
    <w:p>
      <w:pPr>
        <w:pStyle w:val="ListParagraph"/>
        <w:widowControl/>
        <w:spacing w:lineRule="auto" w:line="360"/>
        <w:ind w:left="0" w:firstLine="567"/>
        <w:jc w:val="both"/>
        <w:rPr>
          <w:sz w:val="24"/>
          <w:szCs w:val="24"/>
        </w:rPr>
      </w:pPr>
      <w:r>
        <w:rPr>
          <w:sz w:val="24"/>
          <w:szCs w:val="24"/>
        </w:rPr>
      </w:r>
    </w:p>
    <w:p>
      <w:pPr>
        <w:pStyle w:val="Ttulo11"/>
        <w:rPr/>
      </w:pPr>
      <w:bookmarkStart w:id="28" w:name="_Toc229667201"/>
      <w:r>
        <w:rPr/>
        <w:t>5 OBJETIVOS DO CURSO</w:t>
      </w:r>
      <w:bookmarkEnd w:id="28"/>
    </w:p>
    <w:p>
      <w:pPr>
        <w:pStyle w:val="Ttulo21"/>
        <w:rPr/>
      </w:pPr>
      <w:bookmarkStart w:id="29" w:name="_Toc229667202"/>
      <w:r>
        <w:rPr/>
        <w:t>5.1 Objetivos gerais</w:t>
      </w:r>
      <w:bookmarkEnd w:id="29"/>
      <w:r>
        <w:rPr/>
        <w:t xml:space="preserve"> </w:t>
      </w:r>
    </w:p>
    <w:p>
      <w:pPr>
        <w:pStyle w:val="Ttulo21"/>
        <w:rPr/>
      </w:pPr>
      <w:bookmarkStart w:id="30" w:name="_Toc229667203"/>
      <w:r>
        <w:rPr/>
        <w:t>5.2 Objetivos específicos</w:t>
      </w:r>
      <w:bookmarkEnd w:id="30"/>
      <w:r>
        <w:rPr/>
        <w:t xml:space="preserve"> </w:t>
      </w:r>
    </w:p>
    <w:p>
      <w:pPr>
        <w:pStyle w:val="ListParagraph"/>
        <w:widowControl/>
        <w:spacing w:lineRule="auto" w:line="360"/>
        <w:ind w:left="0" w:firstLine="567"/>
        <w:jc w:val="both"/>
        <w:rPr>
          <w:color w:val="FF0000"/>
          <w:sz w:val="24"/>
          <w:szCs w:val="24"/>
        </w:rPr>
      </w:pPr>
      <w:r>
        <w:rPr>
          <w:color w:val="FF0000"/>
          <w:sz w:val="24"/>
          <w:szCs w:val="24"/>
        </w:rPr>
        <w:t>Os objetivos do curso (geral e específicos) devem ser elencados de forma objetiva e direcionada. Estabelecer síntese de objetivos a serem atingidos ao longo do processo formativo, que envolve o desenvolvimento de competências e construção do conhecimento para o egresso, aliado à atuação do discente na comunidade e no ambiente laboral durante o curso. DEVEM estar em consonância com o perfil profissional do egresso, a estrutura curricular, o contexto educacional, características locais e regionais e novas práticas emergentes no campo do conhecimento relacionado ao curso, as DCNs e ao perfil científico, técnico, ético e social.</w:t>
      </w:r>
    </w:p>
    <w:p>
      <w:pPr>
        <w:pStyle w:val="ListParagraph"/>
        <w:widowControl/>
        <w:spacing w:lineRule="auto" w:line="360"/>
        <w:ind w:left="0" w:firstLine="567"/>
        <w:jc w:val="both"/>
        <w:rPr>
          <w:color w:val="FF0000"/>
          <w:sz w:val="24"/>
          <w:szCs w:val="24"/>
        </w:rPr>
      </w:pPr>
      <w:r>
        <w:rPr>
          <w:color w:val="FF0000"/>
          <w:sz w:val="24"/>
          <w:szCs w:val="24"/>
          <w:lang w:val="pt-BR"/>
        </w:rPr>
        <w:t>Avaliar incluir objetivos específicos relacionados a equidade e inclusão, aplicação da Libras e prever objetivos mensuráveis com indicadores de acompanhamento, vinculando objetivos aos indicadores de avaliação do PPC.</w:t>
      </w:r>
    </w:p>
    <w:p>
      <w:pPr>
        <w:pStyle w:val="ListParagraph"/>
        <w:widowControl/>
        <w:spacing w:lineRule="auto" w:line="360"/>
        <w:ind w:left="0" w:firstLine="567"/>
        <w:jc w:val="both"/>
        <w:rPr>
          <w:color w:val="000000"/>
          <w:sz w:val="24"/>
          <w:szCs w:val="24"/>
        </w:rPr>
      </w:pPr>
      <w:r>
        <w:rPr>
          <w:color w:val="FF0000"/>
          <w:sz w:val="24"/>
          <w:szCs w:val="24"/>
        </w:rPr>
        <w:t>O indicador 1.2 Objetivos do curso (IACG, 2017) pede para que a nota dada pelo avaliador seja máxima no indicador (nota 5) se os objetivos do curso, constantes no PPC, estão implementados, considerando o perfil profissional do egresso, a estrutura curricular, o contexto educacional, características locais e regionais e novas práticas emergentes no campo do conhecimento relacionado ao curso.</w:t>
      </w:r>
    </w:p>
    <w:p>
      <w:pPr>
        <w:pStyle w:val="Normal"/>
        <w:spacing w:lineRule="auto" w:line="360"/>
        <w:jc w:val="both"/>
        <w:rPr>
          <w:color w:val="FF0000"/>
          <w:sz w:val="24"/>
          <w:szCs w:val="24"/>
        </w:rPr>
      </w:pPr>
      <w:r>
        <w:rPr>
          <w:color w:val="FF0000"/>
          <w:sz w:val="24"/>
          <w:szCs w:val="24"/>
        </w:rPr>
      </w:r>
    </w:p>
    <w:p>
      <w:pPr>
        <w:pStyle w:val="Ttulo11"/>
        <w:rPr/>
      </w:pPr>
      <w:bookmarkStart w:id="31" w:name="_Toc229667204"/>
      <w:r>
        <w:rPr/>
        <w:t>6 PERFIL PROFISSIONAL DO EGRESSO</w:t>
      </w:r>
      <w:bookmarkEnd w:id="31"/>
    </w:p>
    <w:p>
      <w:pPr>
        <w:pStyle w:val="ListParagraph"/>
        <w:widowControl/>
        <w:spacing w:lineRule="auto" w:line="360"/>
        <w:ind w:left="0" w:firstLine="567"/>
        <w:jc w:val="both"/>
        <w:rPr>
          <w:color w:val="EE0000"/>
          <w:sz w:val="24"/>
          <w:szCs w:val="24"/>
        </w:rPr>
      </w:pPr>
      <w:r>
        <w:rPr>
          <w:color w:val="EE0000"/>
          <w:sz w:val="24"/>
          <w:szCs w:val="24"/>
        </w:rPr>
        <w:t>Esta seção explicita o conjunto integrado de competências, habilidades e atitudes que caracterizam o profissional a ser formado, em consonância com as DCNs e com a proposta pedagógica estabelecida pelo curso. Deve descrever o perfil do egresso quanto a sua capacidade de atuação técnica e científica, pensamento crítico, postura ética e compromisso social evidenciando sua aptidão para intervir em diferentes contextos profissionais, resolver problemas complexos, atuar de maneira interdisciplinar e adaptar-se às transformações do mundo do trabalho.</w:t>
      </w:r>
    </w:p>
    <w:p>
      <w:pPr>
        <w:pStyle w:val="ListParagraph"/>
        <w:widowControl/>
        <w:spacing w:lineRule="auto" w:line="360"/>
        <w:ind w:left="0" w:firstLine="567"/>
        <w:jc w:val="both"/>
        <w:rPr>
          <w:color w:val="EE0000"/>
          <w:sz w:val="24"/>
          <w:szCs w:val="24"/>
          <w:lang w:val="pt-BR"/>
        </w:rPr>
      </w:pPr>
      <w:r>
        <w:rPr>
          <w:color w:val="EE0000"/>
          <w:sz w:val="24"/>
          <w:szCs w:val="24"/>
          <w:lang w:val="pt-BR"/>
        </w:rPr>
        <w:t>Também deve indicar campos de atuação, níveis de autonomia, responsabilidade e ética, bem como a contribuição do egresso para o desenvolvimento social, econômico e ambiental. Explorar o perfil profissional detalhado, as competências gerais e específicas e o alinhamento com as DCNs e a demanda atualizada do campo de atuação.</w:t>
      </w:r>
    </w:p>
    <w:p>
      <w:pPr>
        <w:pStyle w:val="ListParagraph"/>
        <w:widowControl/>
        <w:spacing w:lineRule="auto" w:line="360"/>
        <w:ind w:left="0" w:firstLine="567"/>
        <w:jc w:val="both"/>
        <w:rPr>
          <w:color w:val="EE0000"/>
          <w:sz w:val="24"/>
          <w:szCs w:val="24"/>
          <w:lang w:val="pt-BR"/>
        </w:rPr>
      </w:pPr>
      <w:r>
        <w:rPr>
          <w:color w:val="EE0000"/>
          <w:sz w:val="24"/>
          <w:szCs w:val="24"/>
          <w:lang w:val="pt-BR"/>
        </w:rPr>
        <w:t>Pensar em competências para essas atuações diversas, além do registro estimulado de evidências como portfólios, rubricas e avaliações formativas.</w:t>
      </w:r>
    </w:p>
    <w:p>
      <w:pPr>
        <w:pStyle w:val="ListParagraph"/>
        <w:widowControl/>
        <w:spacing w:lineRule="auto" w:line="360"/>
        <w:ind w:left="0" w:firstLine="567"/>
        <w:jc w:val="both"/>
        <w:rPr>
          <w:color w:val="EE0000"/>
          <w:sz w:val="24"/>
          <w:szCs w:val="24"/>
        </w:rPr>
      </w:pPr>
      <w:r>
        <w:rPr>
          <w:color w:val="EE0000"/>
          <w:sz w:val="24"/>
          <w:szCs w:val="24"/>
        </w:rPr>
      </w:r>
    </w:p>
    <w:p>
      <w:pPr>
        <w:pStyle w:val="Ttulo11"/>
        <w:rPr/>
      </w:pPr>
      <w:bookmarkStart w:id="32" w:name="_Toc229667205"/>
      <w:r>
        <w:rPr/>
        <w:t>7 ESTRUTURA CURRICULAR</w:t>
      </w:r>
      <w:bookmarkEnd w:id="32"/>
    </w:p>
    <w:p>
      <w:pPr>
        <w:pStyle w:val="ListParagraph"/>
        <w:spacing w:lineRule="auto" w:line="360"/>
        <w:ind w:left="0" w:firstLine="567"/>
        <w:jc w:val="both"/>
        <w:rPr>
          <w:color w:val="EE0000"/>
          <w:sz w:val="24"/>
          <w:szCs w:val="24"/>
          <w:lang w:val="pt-BR"/>
        </w:rPr>
      </w:pPr>
      <w:r>
        <w:rPr>
          <w:color w:val="EE0000"/>
          <w:sz w:val="24"/>
          <w:szCs w:val="24"/>
          <w:lang w:val="pt-BR"/>
        </w:rPr>
        <w:t>Apontar, de forma sintética, a maneira como o currículo será organizado em termos de carga horária, periodicidade, integralização, atendimento às DCNs, oferta de componentes semipresenciais, eixos integradores de conteúdo ou núcleos de conhecimento que demonstrem a articulação entre os componentes curriculares e formas de flexibilidade curricular.</w:t>
      </w:r>
    </w:p>
    <w:p>
      <w:pPr>
        <w:pStyle w:val="ListParagraph"/>
        <w:spacing w:lineRule="auto" w:line="360"/>
        <w:ind w:left="0" w:firstLine="567"/>
        <w:jc w:val="both"/>
        <w:rPr>
          <w:color w:val="EE0000"/>
          <w:sz w:val="24"/>
          <w:szCs w:val="24"/>
          <w:lang w:val="pt-BR"/>
        </w:rPr>
      </w:pPr>
      <w:r>
        <w:rPr>
          <w:color w:val="EE0000"/>
          <w:sz w:val="24"/>
          <w:szCs w:val="24"/>
          <w:lang w:val="pt-BR"/>
        </w:rPr>
        <w:t>- Priorizar a unificação de disciplinas, quando possível.</w:t>
      </w:r>
    </w:p>
    <w:p>
      <w:pPr>
        <w:pStyle w:val="ListParagraph"/>
        <w:spacing w:lineRule="auto" w:line="360"/>
        <w:ind w:left="0" w:firstLine="567"/>
        <w:jc w:val="both"/>
        <w:rPr>
          <w:color w:val="EE0000"/>
          <w:sz w:val="24"/>
          <w:szCs w:val="24"/>
          <w:lang w:val="pt-BR"/>
        </w:rPr>
      </w:pPr>
      <w:r>
        <w:rPr>
          <w:color w:val="EE0000"/>
          <w:sz w:val="24"/>
          <w:szCs w:val="24"/>
          <w:lang w:val="pt-BR"/>
        </w:rPr>
        <w:t>- Simplificar o fluxo, reduzindo ao máximo possível a existência de pré-requisitos.</w:t>
      </w:r>
    </w:p>
    <w:p>
      <w:pPr>
        <w:pStyle w:val="ListParagraph"/>
        <w:spacing w:lineRule="auto" w:line="360"/>
        <w:ind w:left="0" w:firstLine="567"/>
        <w:jc w:val="both"/>
        <w:rPr>
          <w:color w:val="EE0000"/>
          <w:sz w:val="24"/>
          <w:szCs w:val="24"/>
          <w:lang w:val="pt-BR"/>
        </w:rPr>
      </w:pPr>
      <w:r>
        <w:rPr>
          <w:b/>
          <w:bCs/>
          <w:color w:val="EE0000"/>
          <w:sz w:val="24"/>
          <w:szCs w:val="24"/>
          <w:lang w:val="pt-BR"/>
        </w:rPr>
        <w:t>Deve seguir as definições do RGG em sua Sessão III, Da Estrutura do Currículo dos Cursos de Graduação</w:t>
      </w:r>
      <w:r>
        <w:rPr>
          <w:color w:val="EE0000"/>
          <w:sz w:val="24"/>
          <w:szCs w:val="24"/>
          <w:lang w:val="pt-BR"/>
        </w:rPr>
        <w:t>:</w:t>
      </w:r>
    </w:p>
    <w:p>
      <w:pPr>
        <w:pStyle w:val="ListParagraph"/>
        <w:spacing w:lineRule="auto" w:line="360"/>
        <w:ind w:left="0" w:firstLine="567"/>
        <w:jc w:val="both"/>
        <w:rPr>
          <w:color w:val="EE0000"/>
          <w:sz w:val="24"/>
          <w:szCs w:val="24"/>
          <w:lang w:val="pt-BR"/>
        </w:rPr>
      </w:pPr>
      <w:r>
        <w:rPr>
          <w:color w:val="EE0000"/>
          <w:sz w:val="24"/>
          <w:szCs w:val="24"/>
          <w:lang w:val="pt-BR"/>
        </w:rPr>
        <w:t>I- Os cursos devem ser</w:t>
      </w:r>
      <w:r>
        <w:rPr>
          <w:b/>
          <w:bCs/>
          <w:color w:val="EE0000"/>
          <w:sz w:val="24"/>
          <w:szCs w:val="24"/>
          <w:lang w:val="pt-BR"/>
        </w:rPr>
        <w:t xml:space="preserve"> </w:t>
      </w:r>
      <w:r>
        <w:rPr>
          <w:color w:val="EE0000"/>
          <w:sz w:val="24"/>
          <w:szCs w:val="24"/>
          <w:lang w:val="pt-BR"/>
        </w:rPr>
        <w:t>estruturados em Componentes Curriculares, sob a forma de Disciplinas e Módulos ou Componentes Integradores.</w:t>
      </w:r>
    </w:p>
    <w:p>
      <w:pPr>
        <w:pStyle w:val="ListParagraph"/>
        <w:spacing w:lineRule="auto" w:line="360"/>
        <w:ind w:left="0" w:firstLine="567"/>
        <w:jc w:val="both"/>
        <w:rPr>
          <w:color w:val="EE0000"/>
          <w:sz w:val="24"/>
          <w:szCs w:val="24"/>
          <w:lang w:val="pt-BR"/>
        </w:rPr>
      </w:pPr>
      <w:r>
        <w:rPr>
          <w:color w:val="EE0000"/>
          <w:sz w:val="24"/>
          <w:szCs w:val="24"/>
          <w:lang w:val="pt-BR"/>
        </w:rPr>
        <w:t>II- As disciplinas devem ser organizadas na forma de Núcleo Comum – NC, de natureza obrigatória; na forma de Núcleo Específico – NE, de natureza obrigatória ou optativa; e na forma de Núcleo Livre – NL.</w:t>
      </w:r>
    </w:p>
    <w:p>
      <w:pPr>
        <w:pStyle w:val="ListParagraph"/>
        <w:spacing w:lineRule="auto" w:line="360"/>
        <w:ind w:left="0" w:firstLine="567"/>
        <w:jc w:val="both"/>
        <w:rPr>
          <w:color w:val="EE0000"/>
          <w:sz w:val="24"/>
          <w:szCs w:val="24"/>
          <w:lang w:val="pt-BR"/>
        </w:rPr>
      </w:pPr>
      <w:r>
        <w:rPr>
          <w:color w:val="EE0000"/>
          <w:sz w:val="24"/>
          <w:szCs w:val="24"/>
          <w:lang w:val="pt-BR"/>
        </w:rPr>
        <w:t>III- As disciplinas terão cargas horárias múltiplas de dezesseis.</w:t>
      </w:r>
    </w:p>
    <w:p>
      <w:pPr>
        <w:pStyle w:val="ListParagraph"/>
        <w:spacing w:lineRule="auto" w:line="360"/>
        <w:ind w:left="0" w:firstLine="567"/>
        <w:jc w:val="both"/>
        <w:rPr>
          <w:color w:val="EE0000"/>
          <w:sz w:val="24"/>
          <w:szCs w:val="24"/>
          <w:lang w:val="pt-BR"/>
        </w:rPr>
      </w:pPr>
      <w:r>
        <w:rPr>
          <w:color w:val="EE0000"/>
          <w:sz w:val="24"/>
          <w:szCs w:val="24"/>
          <w:lang w:val="pt-BR"/>
        </w:rPr>
        <w:t xml:space="preserve">IV- O Núcleo Comum (NC) é o conjunto de conteúdos comuns da área de formação do curso e conteúdos básicos, que fazem interação com outras áreas de conhecimento para a formação profissional estudantil. O NC será ministrado na forma de disciplinas obrigatórias. </w:t>
      </w:r>
    </w:p>
    <w:p>
      <w:pPr>
        <w:pStyle w:val="ListParagraph"/>
        <w:spacing w:lineRule="auto" w:line="360"/>
        <w:ind w:left="0" w:firstLine="567"/>
        <w:jc w:val="both"/>
        <w:rPr>
          <w:color w:val="EE0000"/>
          <w:sz w:val="24"/>
          <w:szCs w:val="24"/>
          <w:lang w:val="pt-BR"/>
        </w:rPr>
      </w:pPr>
      <w:r>
        <w:rPr>
          <w:color w:val="EE0000"/>
          <w:sz w:val="24"/>
          <w:szCs w:val="24"/>
          <w:lang w:val="pt-BR"/>
        </w:rPr>
        <w:t xml:space="preserve">V- O Núcleo Específico (NE) é o conjunto de disciplinas e componentes integradores com conteúdos estreitamente relacionados à formação do curso que propiciará especificidades ao conhecimento para a formação profissional. O NE será definido no PPC e deverá será ministrado em disciplinas de natureza obrigatória ou optativa. </w:t>
      </w:r>
    </w:p>
    <w:p>
      <w:pPr>
        <w:pStyle w:val="ListParagraph"/>
        <w:spacing w:lineRule="auto" w:line="360"/>
        <w:ind w:left="0" w:firstLine="567"/>
        <w:jc w:val="both"/>
        <w:rPr>
          <w:color w:val="EE0000"/>
          <w:sz w:val="24"/>
          <w:szCs w:val="24"/>
          <w:lang w:val="pt-BR"/>
        </w:rPr>
      </w:pPr>
      <w:r>
        <w:rPr>
          <w:color w:val="EE0000"/>
          <w:sz w:val="24"/>
          <w:szCs w:val="24"/>
          <w:lang w:val="pt-BR"/>
        </w:rPr>
        <w:t xml:space="preserve">VI- A carga horária total do NE será de no mínimo 20% (vinte por cento) e no máximo 50% (cinquenta por cento) da carga horária total necessária à integralização curricular do curso. </w:t>
      </w:r>
    </w:p>
    <w:p>
      <w:pPr>
        <w:pStyle w:val="ListParagraph"/>
        <w:spacing w:lineRule="auto" w:line="360"/>
        <w:ind w:left="0" w:firstLine="567"/>
        <w:jc w:val="both"/>
        <w:rPr>
          <w:color w:val="EE0000"/>
          <w:sz w:val="24"/>
          <w:szCs w:val="24"/>
          <w:lang w:val="pt-BR"/>
        </w:rPr>
      </w:pPr>
      <w:r>
        <w:rPr>
          <w:color w:val="EE0000"/>
          <w:sz w:val="24"/>
          <w:szCs w:val="24"/>
          <w:lang w:val="pt-BR"/>
        </w:rPr>
        <w:t xml:space="preserve">VII- Para os cursos de Licenciatura, a disciplina de Língua Brasileira de Sinais – Libras será disciplina obrigatória. </w:t>
      </w:r>
    </w:p>
    <w:p>
      <w:pPr>
        <w:pStyle w:val="ListParagraph"/>
        <w:spacing w:lineRule="auto" w:line="360"/>
        <w:ind w:left="0" w:firstLine="567"/>
        <w:jc w:val="both"/>
        <w:rPr>
          <w:color w:val="EE0000"/>
          <w:sz w:val="24"/>
          <w:szCs w:val="24"/>
          <w:lang w:val="pt-BR"/>
        </w:rPr>
      </w:pPr>
      <w:r>
        <w:rPr>
          <w:color w:val="EE0000"/>
          <w:sz w:val="24"/>
          <w:szCs w:val="24"/>
          <w:lang w:val="pt-BR"/>
        </w:rPr>
        <w:t xml:space="preserve">VIII- A carga horária total do NL deverá ser no mínimo sessenta e quatro horas </w:t>
      </w:r>
    </w:p>
    <w:p>
      <w:pPr>
        <w:pStyle w:val="ListParagraph"/>
        <w:spacing w:lineRule="auto" w:line="360"/>
        <w:ind w:left="0" w:firstLine="567"/>
        <w:jc w:val="both"/>
        <w:rPr>
          <w:color w:val="EE0000"/>
          <w:sz w:val="24"/>
          <w:szCs w:val="24"/>
          <w:lang w:val="pt-BR"/>
        </w:rPr>
      </w:pPr>
      <w:r>
        <w:rPr>
          <w:color w:val="EE0000"/>
          <w:sz w:val="24"/>
          <w:szCs w:val="24"/>
          <w:lang w:val="pt-BR"/>
        </w:rPr>
        <w:t xml:space="preserve">IX- As AECs e ACs são atividades acadêmicas obrigatórias no currículo de todos os cursos de graduação. </w:t>
      </w:r>
    </w:p>
    <w:p>
      <w:pPr>
        <w:pStyle w:val="ListParagraph"/>
        <w:spacing w:lineRule="auto" w:line="360"/>
        <w:ind w:left="0" w:firstLine="567"/>
        <w:jc w:val="both"/>
        <w:rPr>
          <w:color w:val="EE0000"/>
          <w:sz w:val="24"/>
          <w:szCs w:val="24"/>
          <w:lang w:val="pt-BR"/>
        </w:rPr>
      </w:pPr>
      <w:r>
        <w:rPr>
          <w:color w:val="EE0000"/>
          <w:sz w:val="24"/>
          <w:szCs w:val="24"/>
          <w:lang w:val="pt-BR"/>
        </w:rPr>
        <w:t xml:space="preserve">X- As AOs devem ser definidas em resolução do colegiado do curso e devem constar no respectivo PPC. </w:t>
      </w:r>
    </w:p>
    <w:p>
      <w:pPr>
        <w:pStyle w:val="ListParagraph"/>
        <w:spacing w:lineRule="auto" w:line="360"/>
        <w:ind w:left="0" w:firstLine="567"/>
        <w:jc w:val="both"/>
        <w:rPr>
          <w:color w:val="EE0000"/>
          <w:sz w:val="24"/>
          <w:szCs w:val="24"/>
          <w:lang w:val="pt-BR"/>
        </w:rPr>
      </w:pPr>
      <w:r>
        <w:rPr>
          <w:color w:val="EE0000"/>
          <w:sz w:val="24"/>
          <w:szCs w:val="24"/>
          <w:lang w:val="pt-BR"/>
        </w:rPr>
        <w:t xml:space="preserve">XI- As AOs têm caráter obrigatório quando previstas nas DCNs do Curso ou por regulamentação do próprio curso. </w:t>
      </w:r>
    </w:p>
    <w:p>
      <w:pPr>
        <w:pStyle w:val="ListParagraph"/>
        <w:spacing w:lineRule="auto" w:line="360"/>
        <w:ind w:left="0" w:firstLine="567"/>
        <w:jc w:val="both"/>
        <w:rPr>
          <w:color w:val="EE0000"/>
          <w:sz w:val="24"/>
          <w:szCs w:val="24"/>
          <w:lang w:val="pt-BR"/>
        </w:rPr>
      </w:pPr>
      <w:r>
        <w:rPr>
          <w:b/>
          <w:bCs/>
          <w:color w:val="EE0000"/>
          <w:sz w:val="24"/>
          <w:szCs w:val="24"/>
          <w:lang w:val="pt-BR"/>
        </w:rPr>
        <w:t>Para as licenciaturas</w:t>
      </w:r>
      <w:r>
        <w:rPr>
          <w:color w:val="EE0000"/>
          <w:sz w:val="24"/>
          <w:szCs w:val="24"/>
          <w:lang w:val="pt-BR"/>
        </w:rPr>
        <w:t xml:space="preserve">. Das principais obrigatoriedades e diretrizes presentes na Resolução CNE/CP 4/2024 para formação de professores: </w:t>
      </w:r>
    </w:p>
    <w:p>
      <w:pPr>
        <w:pStyle w:val="ListParagraph"/>
        <w:spacing w:lineRule="auto" w:line="360"/>
        <w:ind w:left="0" w:firstLine="567"/>
        <w:jc w:val="both"/>
        <w:rPr>
          <w:color w:val="EE0000"/>
          <w:sz w:val="24"/>
          <w:szCs w:val="24"/>
          <w:lang w:val="pt-BR"/>
        </w:rPr>
      </w:pPr>
      <w:r>
        <w:rPr>
          <w:color w:val="EE0000"/>
          <w:sz w:val="24"/>
          <w:szCs w:val="24"/>
          <w:lang w:val="pt-BR"/>
        </w:rPr>
        <w:t>I- Alinhamento obrigatório com as referências nacionais;</w:t>
      </w:r>
    </w:p>
    <w:p>
      <w:pPr>
        <w:pStyle w:val="ListParagraph"/>
        <w:spacing w:lineRule="auto" w:line="360"/>
        <w:ind w:left="0" w:firstLine="567"/>
        <w:jc w:val="both"/>
        <w:rPr>
          <w:color w:val="EE0000"/>
          <w:sz w:val="24"/>
          <w:szCs w:val="24"/>
          <w:lang w:val="pt-BR"/>
        </w:rPr>
      </w:pPr>
      <w:r>
        <w:rPr>
          <w:color w:val="EE0000"/>
          <w:sz w:val="24"/>
          <w:szCs w:val="24"/>
          <w:lang w:val="pt-BR"/>
        </w:rPr>
        <w:t>II- Integração entre formação específica e pedagógica;</w:t>
      </w:r>
    </w:p>
    <w:p>
      <w:pPr>
        <w:pStyle w:val="ListParagraph"/>
        <w:spacing w:lineRule="auto" w:line="360"/>
        <w:ind w:left="0" w:firstLine="567"/>
        <w:jc w:val="both"/>
        <w:rPr>
          <w:color w:val="EE0000"/>
          <w:sz w:val="24"/>
          <w:szCs w:val="24"/>
          <w:lang w:val="pt-BR"/>
        </w:rPr>
      </w:pPr>
      <w:r>
        <w:rPr>
          <w:color w:val="EE0000"/>
          <w:sz w:val="24"/>
          <w:szCs w:val="24"/>
          <w:lang w:val="pt-BR"/>
        </w:rPr>
        <w:t>III- Prática docente desde o início do curso;</w:t>
      </w:r>
    </w:p>
    <w:p>
      <w:pPr>
        <w:pStyle w:val="ListParagraph"/>
        <w:spacing w:lineRule="auto" w:line="360"/>
        <w:ind w:left="0" w:firstLine="567"/>
        <w:jc w:val="both"/>
        <w:rPr>
          <w:color w:val="EE0000"/>
          <w:sz w:val="24"/>
          <w:szCs w:val="24"/>
          <w:lang w:val="pt-BR"/>
        </w:rPr>
      </w:pPr>
      <w:r>
        <w:rPr>
          <w:color w:val="EE0000"/>
          <w:sz w:val="24"/>
          <w:szCs w:val="24"/>
          <w:lang w:val="pt-BR"/>
        </w:rPr>
        <w:t xml:space="preserve">IV- Estágio como eixo estruturante </w:t>
      </w:r>
    </w:p>
    <w:p>
      <w:pPr>
        <w:pStyle w:val="ListParagraph"/>
        <w:spacing w:lineRule="auto" w:line="360"/>
        <w:ind w:left="0" w:firstLine="567"/>
        <w:jc w:val="both"/>
        <w:rPr>
          <w:color w:val="EE0000"/>
          <w:sz w:val="24"/>
          <w:szCs w:val="24"/>
          <w:lang w:val="pt-BR"/>
        </w:rPr>
      </w:pPr>
      <w:r>
        <w:rPr>
          <w:color w:val="EE0000"/>
          <w:sz w:val="24"/>
          <w:szCs w:val="24"/>
          <w:lang w:val="pt-BR"/>
        </w:rPr>
        <w:t>V- Ampliação das práticas pedagógicas com inserção progressiva do estudante na escola;</w:t>
      </w:r>
    </w:p>
    <w:p>
      <w:pPr>
        <w:pStyle w:val="ListParagraph"/>
        <w:spacing w:lineRule="auto" w:line="360"/>
        <w:ind w:left="0" w:firstLine="567"/>
        <w:jc w:val="both"/>
        <w:rPr>
          <w:color w:val="EE0000"/>
          <w:sz w:val="24"/>
          <w:szCs w:val="24"/>
          <w:lang w:val="pt-BR"/>
        </w:rPr>
      </w:pPr>
      <w:r>
        <w:rPr>
          <w:color w:val="EE0000"/>
          <w:sz w:val="24"/>
          <w:szCs w:val="24"/>
          <w:lang w:val="pt-BR"/>
        </w:rPr>
        <w:t>VI- Estrutura formativa baseada em (a) competências profissionais docentes, (b) conhecimentos pedagógicos e específicos, (c) práticas de ensino e avaliação e (d) integração entre teoria e prática.</w:t>
      </w:r>
    </w:p>
    <w:p>
      <w:pPr>
        <w:pStyle w:val="ListParagraph"/>
        <w:spacing w:lineRule="auto" w:line="360"/>
        <w:ind w:left="0" w:firstLine="567"/>
        <w:jc w:val="both"/>
        <w:rPr>
          <w:color w:val="EE0000"/>
          <w:sz w:val="24"/>
          <w:szCs w:val="24"/>
          <w:lang w:val="pt-BR"/>
        </w:rPr>
      </w:pPr>
      <w:r>
        <w:rPr>
          <w:color w:val="EE0000"/>
          <w:sz w:val="24"/>
          <w:szCs w:val="24"/>
          <w:lang w:val="pt-BR"/>
        </w:rPr>
        <w:t>VII- Núcleo I: 880 horas para componentes curriculares de formação geral e fundamentos da educação: (a) bases teóricas da educação, (b) psicologia da aprendizagem, (c) políticas educacionais e (d) didática.</w:t>
      </w:r>
    </w:p>
    <w:p>
      <w:pPr>
        <w:pStyle w:val="ListParagraph"/>
        <w:spacing w:lineRule="auto" w:line="360"/>
        <w:ind w:left="0" w:firstLine="567"/>
        <w:jc w:val="both"/>
        <w:rPr>
          <w:color w:val="EE0000"/>
          <w:sz w:val="24"/>
          <w:szCs w:val="24"/>
          <w:lang w:val="pt-BR"/>
        </w:rPr>
      </w:pPr>
      <w:r>
        <w:rPr>
          <w:color w:val="EE0000"/>
          <w:sz w:val="24"/>
          <w:szCs w:val="24"/>
          <w:lang w:val="pt-BR"/>
        </w:rPr>
        <w:t>VIII- Núcleo II: 1600 horas para formação específica na área de conhecimento: (a) conteúdos específicos, (b) domínio conceitual e (c) epstemologia da área.</w:t>
      </w:r>
    </w:p>
    <w:p>
      <w:pPr>
        <w:pStyle w:val="ListParagraph"/>
        <w:spacing w:lineRule="auto" w:line="360"/>
        <w:ind w:left="0" w:firstLine="567"/>
        <w:jc w:val="both"/>
        <w:rPr>
          <w:color w:val="EE0000"/>
          <w:sz w:val="24"/>
          <w:szCs w:val="24"/>
          <w:lang w:val="pt-BR"/>
        </w:rPr>
      </w:pPr>
      <w:r>
        <w:rPr>
          <w:color w:val="EE0000"/>
          <w:sz w:val="24"/>
          <w:szCs w:val="24"/>
          <w:lang w:val="pt-BR"/>
        </w:rPr>
        <w:t>IX- Núcleo III: 320 horas para atividades acadêmicas de extensão. (a) práticas vinculadas aos componentes curriculares com atividades de extensão na educação básica.</w:t>
      </w:r>
    </w:p>
    <w:p>
      <w:pPr>
        <w:pStyle w:val="ListParagraph"/>
        <w:spacing w:lineRule="auto" w:line="360"/>
        <w:ind w:left="0" w:firstLine="567"/>
        <w:jc w:val="both"/>
        <w:rPr>
          <w:color w:val="EE0000"/>
          <w:sz w:val="24"/>
          <w:szCs w:val="24"/>
          <w:lang w:val="pt-BR"/>
        </w:rPr>
      </w:pPr>
      <w:r>
        <w:rPr>
          <w:color w:val="EE0000"/>
          <w:sz w:val="24"/>
          <w:szCs w:val="24"/>
          <w:lang w:val="pt-BR"/>
        </w:rPr>
        <w:t>X- Núcleo IV: 400 horas para estágio curricular supervisionado. (a) vinculado às instituições de ensino básico, (b) com carga horária distribuída ao longo da formação, desde o primeiro semestre do curso.</w:t>
      </w:r>
    </w:p>
    <w:p>
      <w:pPr>
        <w:pStyle w:val="ListParagraph"/>
        <w:spacing w:lineRule="auto" w:line="360"/>
        <w:ind w:left="0" w:firstLine="567"/>
        <w:jc w:val="both"/>
        <w:rPr>
          <w:color w:val="EE0000"/>
          <w:sz w:val="24"/>
          <w:szCs w:val="24"/>
          <w:lang w:val="pt-BR"/>
        </w:rPr>
      </w:pPr>
      <w:r>
        <w:rPr>
          <w:color w:val="EE0000"/>
          <w:sz w:val="24"/>
          <w:szCs w:val="24"/>
          <w:lang w:val="pt-BR"/>
        </w:rPr>
        <w:t xml:space="preserve">De acordo com a nova dimensão de avaliação, é necessário que o PPC inclua temas como: equidade na formação docente, capacidade da aplicação de Libras nos diversos contextos educativas associados aos socioculturais, históricos e linguísticos e a adaptação desses conhecimentos ao contexto escolar, conhecimentos e competências em Gestão Educacional e em Computação na Formação Docente (TDIC). Assim, o currículo deve deixar explícito esses termos, preferencialmente trabalhados em componentes curriculares, de modo transversal e intersdisciplinar, quando possível. </w:t>
      </w:r>
    </w:p>
    <w:p>
      <w:pPr>
        <w:pStyle w:val="Ttulo21"/>
        <w:rPr/>
      </w:pPr>
      <w:bookmarkStart w:id="33" w:name="_Toc229667206"/>
      <w:r>
        <w:rPr/>
        <w:t>7.1 Matriz curricular</w:t>
      </w:r>
      <w:bookmarkEnd w:id="33"/>
    </w:p>
    <w:p>
      <w:pPr>
        <w:pStyle w:val="Normal"/>
        <w:spacing w:lineRule="auto" w:line="360"/>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14"/>
        <w:gridCol w:w="1416"/>
        <w:gridCol w:w="1123"/>
        <w:gridCol w:w="935"/>
        <w:gridCol w:w="963"/>
        <w:gridCol w:w="976"/>
      </w:tblGrid>
      <w:tr>
        <w:trPr/>
        <w:tc>
          <w:tcPr>
            <w:tcW w:w="9627" w:type="dxa"/>
            <w:gridSpan w:val="6"/>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NÚCLEO COMUM - OBRIGATÓRIAS</w:t>
            </w:r>
          </w:p>
        </w:tc>
      </w:tr>
      <w:tr>
        <w:trPr/>
        <w:tc>
          <w:tcPr>
            <w:tcW w:w="42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1416"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 responsável</w:t>
            </w:r>
          </w:p>
        </w:tc>
        <w:tc>
          <w:tcPr>
            <w:tcW w:w="11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935"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CHTot</w:t>
            </w:r>
          </w:p>
        </w:tc>
        <w:tc>
          <w:tcPr>
            <w:tcW w:w="96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CHTeo</w:t>
            </w:r>
          </w:p>
        </w:tc>
        <w:tc>
          <w:tcPr>
            <w:tcW w:w="976"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CHPra</w:t>
            </w:r>
          </w:p>
        </w:tc>
      </w:tr>
      <w:tr>
        <w:trPr/>
        <w:tc>
          <w:tcPr>
            <w:tcW w:w="4214"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 xml:space="preserve">Disciplina em ordem alfabética </w:t>
            </w:r>
          </w:p>
        </w:tc>
        <w:tc>
          <w:tcPr>
            <w:tcW w:w="1416"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ICHL</w:t>
            </w:r>
          </w:p>
        </w:tc>
        <w:tc>
          <w:tcPr>
            <w:tcW w:w="1123"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w:t>
            </w:r>
          </w:p>
        </w:tc>
        <w:tc>
          <w:tcPr>
            <w:tcW w:w="935"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64</w:t>
            </w:r>
          </w:p>
        </w:tc>
        <w:tc>
          <w:tcPr>
            <w:tcW w:w="963"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32</w:t>
            </w:r>
          </w:p>
        </w:tc>
        <w:tc>
          <w:tcPr>
            <w:tcW w:w="976"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32</w:t>
            </w:r>
          </w:p>
        </w:tc>
      </w:tr>
    </w:tbl>
    <w:p>
      <w:pPr>
        <w:pStyle w:val="Normal"/>
        <w:spacing w:lineRule="auto" w:line="360"/>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14"/>
        <w:gridCol w:w="1416"/>
        <w:gridCol w:w="1123"/>
        <w:gridCol w:w="935"/>
        <w:gridCol w:w="963"/>
        <w:gridCol w:w="976"/>
      </w:tblGrid>
      <w:tr>
        <w:trPr/>
        <w:tc>
          <w:tcPr>
            <w:tcW w:w="9627" w:type="dxa"/>
            <w:gridSpan w:val="6"/>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NÚCLEO ESPECÍFICO - OBRIGATÓRIAS</w:t>
            </w:r>
          </w:p>
        </w:tc>
      </w:tr>
      <w:tr>
        <w:trPr/>
        <w:tc>
          <w:tcPr>
            <w:tcW w:w="42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1416"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 responsável</w:t>
            </w:r>
          </w:p>
        </w:tc>
        <w:tc>
          <w:tcPr>
            <w:tcW w:w="11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935"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CHTot</w:t>
            </w:r>
          </w:p>
        </w:tc>
        <w:tc>
          <w:tcPr>
            <w:tcW w:w="96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CHTeo</w:t>
            </w:r>
          </w:p>
        </w:tc>
        <w:tc>
          <w:tcPr>
            <w:tcW w:w="976"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CHPra</w:t>
            </w:r>
          </w:p>
        </w:tc>
      </w:tr>
      <w:tr>
        <w:trPr/>
        <w:tc>
          <w:tcPr>
            <w:tcW w:w="4214"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 xml:space="preserve">Disciplina em ordem alfabética </w:t>
            </w:r>
          </w:p>
        </w:tc>
        <w:tc>
          <w:tcPr>
            <w:tcW w:w="1416"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ICHL</w:t>
            </w:r>
          </w:p>
        </w:tc>
        <w:tc>
          <w:tcPr>
            <w:tcW w:w="1123"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w:t>
            </w:r>
          </w:p>
        </w:tc>
        <w:tc>
          <w:tcPr>
            <w:tcW w:w="935"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64</w:t>
            </w:r>
          </w:p>
        </w:tc>
        <w:tc>
          <w:tcPr>
            <w:tcW w:w="963"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32</w:t>
            </w:r>
          </w:p>
        </w:tc>
        <w:tc>
          <w:tcPr>
            <w:tcW w:w="976"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32</w:t>
            </w:r>
          </w:p>
        </w:tc>
      </w:tr>
    </w:tbl>
    <w:p>
      <w:pPr>
        <w:pStyle w:val="ListParagraph"/>
        <w:widowControl/>
        <w:spacing w:lineRule="auto" w:line="360"/>
        <w:ind w:left="0" w:firstLine="567"/>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14"/>
        <w:gridCol w:w="1416"/>
        <w:gridCol w:w="1123"/>
        <w:gridCol w:w="935"/>
        <w:gridCol w:w="963"/>
        <w:gridCol w:w="976"/>
      </w:tblGrid>
      <w:tr>
        <w:trPr/>
        <w:tc>
          <w:tcPr>
            <w:tcW w:w="9627" w:type="dxa"/>
            <w:gridSpan w:val="6"/>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NÚCLEO ESPECÍFICO - OPTATIVAS</w:t>
            </w:r>
          </w:p>
        </w:tc>
      </w:tr>
      <w:tr>
        <w:trPr/>
        <w:tc>
          <w:tcPr>
            <w:tcW w:w="42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1416"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 responsável</w:t>
            </w:r>
          </w:p>
        </w:tc>
        <w:tc>
          <w:tcPr>
            <w:tcW w:w="11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935"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CHTot</w:t>
            </w:r>
          </w:p>
        </w:tc>
        <w:tc>
          <w:tcPr>
            <w:tcW w:w="96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CHTeo</w:t>
            </w:r>
          </w:p>
        </w:tc>
        <w:tc>
          <w:tcPr>
            <w:tcW w:w="976"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CHPra</w:t>
            </w:r>
          </w:p>
        </w:tc>
      </w:tr>
      <w:tr>
        <w:trPr/>
        <w:tc>
          <w:tcPr>
            <w:tcW w:w="4214"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 xml:space="preserve">Disciplina em ordem alfabética </w:t>
            </w:r>
          </w:p>
        </w:tc>
        <w:tc>
          <w:tcPr>
            <w:tcW w:w="1416"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ICHL</w:t>
            </w:r>
          </w:p>
        </w:tc>
        <w:tc>
          <w:tcPr>
            <w:tcW w:w="1123"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w:t>
            </w:r>
          </w:p>
        </w:tc>
        <w:tc>
          <w:tcPr>
            <w:tcW w:w="935"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64</w:t>
            </w:r>
          </w:p>
        </w:tc>
        <w:tc>
          <w:tcPr>
            <w:tcW w:w="963"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32</w:t>
            </w:r>
          </w:p>
        </w:tc>
        <w:tc>
          <w:tcPr>
            <w:tcW w:w="976" w:type="dxa"/>
            <w:tcBorders/>
            <w:vAlign w:val="center"/>
          </w:tcPr>
          <w:p>
            <w:pPr>
              <w:pStyle w:val="Normal"/>
              <w:widowControl w:val="false"/>
              <w:spacing w:before="0" w:after="0"/>
              <w:jc w:val="center"/>
              <w:rPr>
                <w:color w:val="000000"/>
                <w:sz w:val="24"/>
                <w:szCs w:val="24"/>
              </w:rPr>
            </w:pPr>
            <w:r>
              <w:rPr>
                <w:color w:val="000000"/>
                <w:kern w:val="0"/>
                <w:sz w:val="24"/>
                <w:szCs w:val="24"/>
                <w:lang w:bidi="ar-SA"/>
              </w:rPr>
              <w:t>32</w:t>
            </w:r>
          </w:p>
        </w:tc>
      </w:tr>
    </w:tbl>
    <w:p>
      <w:pPr>
        <w:pStyle w:val="ListParagraph"/>
        <w:widowControl/>
        <w:spacing w:lineRule="auto" w:line="360"/>
        <w:ind w:left="0" w:firstLine="567"/>
        <w:jc w:val="both"/>
        <w:rPr>
          <w:color w:val="000000"/>
          <w:sz w:val="24"/>
          <w:szCs w:val="24"/>
        </w:rPr>
      </w:pPr>
      <w:r>
        <w:rPr>
          <w:color w:val="000000"/>
          <w:sz w:val="24"/>
          <w:szCs w:val="24"/>
        </w:rPr>
      </w:r>
    </w:p>
    <w:p>
      <w:pPr>
        <w:pStyle w:val="ListParagraph"/>
        <w:widowControl/>
        <w:spacing w:lineRule="auto" w:line="360"/>
        <w:ind w:left="0" w:firstLine="567"/>
        <w:jc w:val="both"/>
        <w:rPr>
          <w:color w:val="000000"/>
          <w:sz w:val="24"/>
          <w:szCs w:val="24"/>
        </w:rPr>
      </w:pPr>
      <w:r>
        <w:rPr>
          <w:color w:val="000000"/>
          <w:sz w:val="24"/>
          <w:szCs w:val="24"/>
        </w:rPr>
        <w:t>CHTot: Carga horária total</w:t>
      </w:r>
    </w:p>
    <w:p>
      <w:pPr>
        <w:pStyle w:val="ListParagraph"/>
        <w:widowControl/>
        <w:spacing w:lineRule="auto" w:line="360"/>
        <w:ind w:left="0" w:firstLine="567"/>
        <w:jc w:val="both"/>
        <w:rPr>
          <w:color w:val="000000"/>
          <w:sz w:val="24"/>
          <w:szCs w:val="24"/>
        </w:rPr>
      </w:pPr>
      <w:r>
        <w:rPr>
          <w:color w:val="000000"/>
          <w:sz w:val="24"/>
          <w:szCs w:val="24"/>
        </w:rPr>
        <w:t>CHTeo: Carga horária teórica</w:t>
      </w:r>
    </w:p>
    <w:p>
      <w:pPr>
        <w:pStyle w:val="ListParagraph"/>
        <w:widowControl/>
        <w:spacing w:lineRule="auto" w:line="360"/>
        <w:ind w:left="0" w:firstLine="567"/>
        <w:jc w:val="both"/>
        <w:rPr>
          <w:color w:val="000000"/>
          <w:sz w:val="24"/>
          <w:szCs w:val="24"/>
        </w:rPr>
      </w:pPr>
      <w:r>
        <w:rPr>
          <w:color w:val="000000"/>
          <w:sz w:val="24"/>
          <w:szCs w:val="24"/>
        </w:rPr>
        <w:t>CHPra: Carga horária prática</w:t>
      </w:r>
    </w:p>
    <w:p>
      <w:pPr>
        <w:pStyle w:val="ListParagraph"/>
        <w:widowControl/>
        <w:spacing w:lineRule="auto" w:line="360"/>
        <w:ind w:left="0" w:firstLine="567"/>
        <w:jc w:val="both"/>
        <w:rPr>
          <w:color w:val="000000"/>
          <w:sz w:val="24"/>
          <w:szCs w:val="24"/>
        </w:rPr>
      </w:pPr>
      <w:r>
        <w:rPr>
          <w:color w:val="000000"/>
          <w:sz w:val="24"/>
          <w:szCs w:val="24"/>
        </w:rPr>
        <w:t>UA: Unidade Acadêmica</w:t>
      </w:r>
    </w:p>
    <w:p>
      <w:pPr>
        <w:pStyle w:val="ListParagraph"/>
        <w:widowControl/>
        <w:spacing w:lineRule="auto" w:line="360"/>
        <w:ind w:left="0" w:firstLine="567"/>
        <w:jc w:val="both"/>
        <w:rPr>
          <w:color w:val="000000"/>
          <w:sz w:val="24"/>
          <w:szCs w:val="24"/>
        </w:rPr>
      </w:pPr>
      <w:r>
        <w:rPr>
          <w:color w:val="000000"/>
          <w:sz w:val="24"/>
          <w:szCs w:val="24"/>
        </w:rPr>
        <w:t>ICHL: Instituto de Ciências Humanas e Letras</w:t>
      </w:r>
    </w:p>
    <w:p>
      <w:pPr>
        <w:pStyle w:val="ListParagraph"/>
        <w:widowControl/>
        <w:spacing w:lineRule="auto" w:line="360"/>
        <w:ind w:left="0" w:firstLine="567"/>
        <w:jc w:val="both"/>
        <w:rPr>
          <w:color w:val="000000"/>
          <w:sz w:val="24"/>
          <w:szCs w:val="24"/>
        </w:rPr>
      </w:pPr>
      <w:r>
        <w:rPr>
          <w:color w:val="000000"/>
          <w:sz w:val="24"/>
          <w:szCs w:val="24"/>
        </w:rPr>
      </w:r>
    </w:p>
    <w:p>
      <w:pPr>
        <w:pStyle w:val="Ttulo21"/>
        <w:rPr/>
      </w:pPr>
      <w:bookmarkStart w:id="34" w:name="_Toc229667207"/>
      <w:r>
        <w:rPr/>
        <w:t>7.2 Resumo da carga horária</w:t>
      </w:r>
      <w:bookmarkEnd w:id="34"/>
    </w:p>
    <w:tbl>
      <w:tblPr>
        <w:tblStyle w:val="Tabelacomgrade"/>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948"/>
        <w:gridCol w:w="1816"/>
        <w:gridCol w:w="1870"/>
      </w:tblGrid>
      <w:tr>
        <w:trPr/>
        <w:tc>
          <w:tcPr>
            <w:tcW w:w="5948" w:type="dxa"/>
            <w:tcBorders/>
            <w:shd w:color="auto" w:fill="BFBFBF" w:themeFill="background1" w:themeFillShade="bf" w:val="clear"/>
            <w:vAlign w:val="center"/>
          </w:tcPr>
          <w:p>
            <w:pPr>
              <w:pStyle w:val="ListParagraph"/>
              <w:widowControl w:val="false"/>
              <w:spacing w:lineRule="auto" w:line="276" w:before="120" w:after="120"/>
              <w:ind w:left="0" w:hanging="360"/>
              <w:contextualSpacing/>
              <w:jc w:val="center"/>
              <w:rPr>
                <w:b/>
                <w:b/>
                <w:bCs/>
                <w:color w:val="000000"/>
                <w:sz w:val="24"/>
                <w:szCs w:val="24"/>
              </w:rPr>
            </w:pPr>
            <w:r>
              <w:rPr>
                <w:b/>
                <w:bCs/>
                <w:color w:val="000000"/>
                <w:kern w:val="0"/>
                <w:sz w:val="24"/>
                <w:szCs w:val="24"/>
                <w:lang w:bidi="ar-SA"/>
              </w:rPr>
              <w:t>COMPONENTE CURRICULAR</w:t>
            </w:r>
          </w:p>
        </w:tc>
        <w:tc>
          <w:tcPr>
            <w:tcW w:w="1816" w:type="dxa"/>
            <w:tcBorders/>
            <w:shd w:color="auto" w:fill="BFBFBF" w:themeFill="background1" w:themeFillShade="bf" w:val="clear"/>
            <w:vAlign w:val="center"/>
          </w:tcPr>
          <w:p>
            <w:pPr>
              <w:pStyle w:val="ListParagraph"/>
              <w:widowControl w:val="false"/>
              <w:spacing w:before="120" w:after="120"/>
              <w:ind w:left="0" w:hanging="360"/>
              <w:contextualSpacing/>
              <w:jc w:val="center"/>
              <w:rPr>
                <w:b/>
                <w:b/>
                <w:bCs/>
                <w:color w:val="000000"/>
                <w:sz w:val="24"/>
                <w:szCs w:val="24"/>
              </w:rPr>
            </w:pPr>
            <w:r>
              <w:rPr>
                <w:b/>
                <w:bCs/>
                <w:color w:val="000000"/>
                <w:kern w:val="0"/>
                <w:sz w:val="24"/>
                <w:szCs w:val="24"/>
                <w:lang w:bidi="ar-SA"/>
              </w:rPr>
              <w:t>CARGA HORÁRIA</w:t>
            </w:r>
          </w:p>
        </w:tc>
        <w:tc>
          <w:tcPr>
            <w:tcW w:w="1870" w:type="dxa"/>
            <w:tcBorders/>
            <w:shd w:color="auto" w:fill="BFBFBF" w:themeFill="background1" w:themeFillShade="bf" w:val="clear"/>
            <w:vAlign w:val="center"/>
          </w:tcPr>
          <w:p>
            <w:pPr>
              <w:pStyle w:val="ListParagraph"/>
              <w:widowControl w:val="false"/>
              <w:spacing w:before="0" w:after="120"/>
              <w:ind w:left="0" w:hanging="360"/>
              <w:contextualSpacing/>
              <w:jc w:val="center"/>
              <w:rPr>
                <w:b/>
                <w:b/>
                <w:bCs/>
                <w:color w:val="000000"/>
                <w:sz w:val="24"/>
                <w:szCs w:val="24"/>
              </w:rPr>
            </w:pPr>
            <w:r>
              <w:rPr>
                <w:b/>
                <w:bCs/>
                <w:color w:val="000000"/>
                <w:kern w:val="0"/>
                <w:sz w:val="24"/>
                <w:szCs w:val="24"/>
                <w:lang w:bidi="ar-SA"/>
              </w:rPr>
              <w:t>PERCENTUAL</w:t>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Núcleo comum - NC</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Núcleo específico obrigatório - NEOB</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Núcleo específico optativo - NEOP</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Núcleo livre - NL</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Atividades complementares - AC</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Estágio curricular obrigatório - ACO</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t xml:space="preserve">400 </w:t>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t>12,5%</w:t>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Atividades de extensão curricularizáveis - AEC</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t>320</w:t>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t>10%</w:t>
            </w:r>
          </w:p>
        </w:tc>
      </w:tr>
      <w:tr>
        <w:trPr/>
        <w:tc>
          <w:tcPr>
            <w:tcW w:w="5948" w:type="dxa"/>
            <w:tcBorders/>
          </w:tcPr>
          <w:p>
            <w:pPr>
              <w:pStyle w:val="ListParagraph"/>
              <w:widowControl w:val="false"/>
              <w:spacing w:lineRule="auto" w:line="276" w:before="0" w:after="0"/>
              <w:ind w:left="0" w:hanging="360"/>
              <w:contextualSpacing/>
              <w:jc w:val="both"/>
              <w:rPr>
                <w:color w:val="000000"/>
                <w:sz w:val="24"/>
                <w:szCs w:val="24"/>
              </w:rPr>
            </w:pPr>
            <w:r>
              <w:rPr>
                <w:color w:val="000000"/>
                <w:kern w:val="0"/>
                <w:sz w:val="24"/>
                <w:szCs w:val="24"/>
                <w:lang w:bidi="ar-SA"/>
              </w:rPr>
              <w:t>TOTAL</w:t>
            </w:r>
          </w:p>
        </w:tc>
        <w:tc>
          <w:tcPr>
            <w:tcW w:w="1816"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t>3200</w:t>
            </w:r>
          </w:p>
        </w:tc>
        <w:tc>
          <w:tcPr>
            <w:tcW w:w="1870" w:type="dxa"/>
            <w:tcBorders/>
            <w:vAlign w:val="center"/>
          </w:tcPr>
          <w:p>
            <w:pPr>
              <w:pStyle w:val="ListParagraph"/>
              <w:widowControl w:val="false"/>
              <w:spacing w:lineRule="auto" w:line="276" w:before="0" w:after="0"/>
              <w:ind w:left="0" w:hanging="360"/>
              <w:contextualSpacing/>
              <w:jc w:val="center"/>
              <w:rPr>
                <w:color w:val="000000"/>
                <w:sz w:val="24"/>
                <w:szCs w:val="24"/>
              </w:rPr>
            </w:pPr>
            <w:r>
              <w:rPr>
                <w:color w:val="000000"/>
                <w:kern w:val="0"/>
                <w:sz w:val="24"/>
                <w:szCs w:val="24"/>
                <w:lang w:bidi="ar-SA"/>
              </w:rPr>
              <w:t>100%</w:t>
            </w:r>
          </w:p>
        </w:tc>
      </w:tr>
    </w:tbl>
    <w:p>
      <w:pPr>
        <w:pStyle w:val="Normal"/>
        <w:widowControl/>
        <w:spacing w:lineRule="auto" w:line="360"/>
        <w:jc w:val="both"/>
        <w:rPr>
          <w:color w:val="000000"/>
          <w:sz w:val="24"/>
          <w:szCs w:val="24"/>
        </w:rPr>
      </w:pPr>
      <w:r>
        <w:rPr>
          <w:color w:val="000000"/>
          <w:sz w:val="24"/>
          <w:szCs w:val="24"/>
        </w:rPr>
      </w:r>
    </w:p>
    <w:p>
      <w:pPr>
        <w:pStyle w:val="Ttulo21"/>
        <w:rPr/>
      </w:pPr>
      <w:bookmarkStart w:id="35" w:name="_Toc229667208"/>
      <w:r>
        <w:rPr/>
        <w:t>7.3 Equivalências</w:t>
      </w:r>
      <w:bookmarkEnd w:id="35"/>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735"/>
        <w:gridCol w:w="1377"/>
        <w:gridCol w:w="2835"/>
        <w:gridCol w:w="1304"/>
        <w:gridCol w:w="1377"/>
      </w:tblGrid>
      <w:tr>
        <w:trPr/>
        <w:tc>
          <w:tcPr>
            <w:tcW w:w="2735" w:type="dxa"/>
            <w:tcBorders/>
            <w:shd w:color="auto" w:fill="BFBFBF" w:themeFill="background1" w:themeFillShade="bf" w:val="clear"/>
            <w:vAlign w:val="center"/>
          </w:tcPr>
          <w:p>
            <w:pPr>
              <w:pStyle w:val="Normal"/>
              <w:widowControl w:val="false"/>
              <w:spacing w:before="0" w:after="0"/>
              <w:jc w:val="center"/>
              <w:rPr>
                <w:b/>
                <w:b/>
                <w:bCs/>
                <w:color w:val="000000"/>
                <w:sz w:val="24"/>
                <w:szCs w:val="24"/>
              </w:rPr>
            </w:pPr>
            <w:r>
              <w:rPr>
                <w:b/>
                <w:bCs/>
                <w:color w:val="000000"/>
                <w:kern w:val="0"/>
                <w:sz w:val="24"/>
                <w:szCs w:val="24"/>
                <w:lang w:bidi="ar-SA"/>
              </w:rPr>
              <w:t>DISCIPLINA</w:t>
            </w:r>
          </w:p>
        </w:tc>
        <w:tc>
          <w:tcPr>
            <w:tcW w:w="1377" w:type="dxa"/>
            <w:tcBorders/>
            <w:shd w:color="auto" w:fill="BFBFBF" w:themeFill="background1" w:themeFillShade="bf" w:val="clear"/>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CARGA HORÁRIA</w:t>
            </w:r>
          </w:p>
        </w:tc>
        <w:tc>
          <w:tcPr>
            <w:tcW w:w="2835" w:type="dxa"/>
            <w:tcBorders/>
            <w:shd w:color="auto" w:fill="BFBFBF" w:themeFill="background1" w:themeFillShade="bf" w:val="clear"/>
            <w:vAlign w:val="center"/>
          </w:tcPr>
          <w:p>
            <w:pPr>
              <w:pStyle w:val="Normal"/>
              <w:widowControl w:val="false"/>
              <w:spacing w:before="0" w:after="0"/>
              <w:jc w:val="center"/>
              <w:rPr>
                <w:b/>
                <w:b/>
                <w:bCs/>
                <w:color w:val="000000"/>
                <w:sz w:val="24"/>
                <w:szCs w:val="24"/>
              </w:rPr>
            </w:pPr>
            <w:r>
              <w:rPr>
                <w:b/>
                <w:bCs/>
                <w:color w:val="000000"/>
                <w:kern w:val="0"/>
                <w:sz w:val="24"/>
                <w:szCs w:val="24"/>
                <w:lang w:bidi="ar-SA"/>
              </w:rPr>
              <w:t>EQUIVALÊNCIA</w:t>
            </w:r>
          </w:p>
        </w:tc>
        <w:tc>
          <w:tcPr>
            <w:tcW w:w="1304" w:type="dxa"/>
            <w:tcBorders/>
            <w:shd w:color="auto" w:fill="BFBFBF" w:themeFill="background1" w:themeFillShade="bf" w:val="clear"/>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CÓDIGO</w:t>
            </w:r>
          </w:p>
        </w:tc>
        <w:tc>
          <w:tcPr>
            <w:tcW w:w="1377" w:type="dxa"/>
            <w:tcBorders/>
            <w:shd w:color="auto" w:fill="BFBFBF" w:themeFill="background1" w:themeFillShade="bf" w:val="clear"/>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CARGA HORÁRIA</w:t>
            </w:r>
          </w:p>
        </w:tc>
      </w:tr>
      <w:tr>
        <w:trPr/>
        <w:tc>
          <w:tcPr>
            <w:tcW w:w="2735"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Disciplina Novo PPC</w:t>
            </w:r>
          </w:p>
        </w:tc>
        <w:tc>
          <w:tcPr>
            <w:tcW w:w="1377"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64</w:t>
            </w:r>
          </w:p>
        </w:tc>
        <w:tc>
          <w:tcPr>
            <w:tcW w:w="2835"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Disciplina Antigo PPC</w:t>
            </w:r>
          </w:p>
        </w:tc>
        <w:tc>
          <w:tcPr>
            <w:tcW w:w="1304"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UA0xxx</w:t>
            </w:r>
          </w:p>
        </w:tc>
        <w:tc>
          <w:tcPr>
            <w:tcW w:w="1377"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64</w:t>
            </w:r>
          </w:p>
        </w:tc>
      </w:tr>
      <w:tr>
        <w:trPr/>
        <w:tc>
          <w:tcPr>
            <w:tcW w:w="2735"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Disciplina Novo PPC</w:t>
            </w:r>
          </w:p>
        </w:tc>
        <w:tc>
          <w:tcPr>
            <w:tcW w:w="1377"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64</w:t>
            </w:r>
          </w:p>
        </w:tc>
        <w:tc>
          <w:tcPr>
            <w:tcW w:w="2835"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Disciplina Antigo PPC</w:t>
            </w:r>
          </w:p>
        </w:tc>
        <w:tc>
          <w:tcPr>
            <w:tcW w:w="1304"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UA0xxx</w:t>
            </w:r>
          </w:p>
        </w:tc>
        <w:tc>
          <w:tcPr>
            <w:tcW w:w="1377" w:type="dxa"/>
            <w:tcBorders/>
          </w:tcPr>
          <w:p>
            <w:pPr>
              <w:pStyle w:val="Normal"/>
              <w:widowControl w:val="false"/>
              <w:spacing w:lineRule="auto" w:line="360" w:before="0" w:after="0"/>
              <w:jc w:val="center"/>
              <w:rPr>
                <w:color w:val="000000"/>
                <w:sz w:val="24"/>
                <w:szCs w:val="24"/>
              </w:rPr>
            </w:pPr>
            <w:r>
              <w:rPr>
                <w:color w:val="000000"/>
                <w:kern w:val="0"/>
                <w:sz w:val="24"/>
                <w:szCs w:val="24"/>
                <w:lang w:bidi="ar-SA"/>
              </w:rPr>
              <w:t>48</w:t>
            </w:r>
          </w:p>
        </w:tc>
      </w:tr>
    </w:tbl>
    <w:p>
      <w:pPr>
        <w:pStyle w:val="Normal"/>
        <w:widowControl/>
        <w:spacing w:lineRule="auto" w:line="360"/>
        <w:jc w:val="both"/>
        <w:rPr>
          <w:color w:val="000000"/>
          <w:sz w:val="24"/>
          <w:szCs w:val="24"/>
        </w:rPr>
      </w:pPr>
      <w:r>
        <w:rPr>
          <w:color w:val="000000"/>
          <w:sz w:val="24"/>
          <w:szCs w:val="24"/>
        </w:rPr>
      </w:r>
    </w:p>
    <w:p>
      <w:pPr>
        <w:pStyle w:val="ListParagraph"/>
        <w:widowControl/>
        <w:spacing w:lineRule="auto" w:line="360"/>
        <w:ind w:left="0" w:firstLine="567"/>
        <w:jc w:val="both"/>
        <w:rPr>
          <w:color w:val="000000"/>
          <w:sz w:val="24"/>
          <w:szCs w:val="24"/>
        </w:rPr>
      </w:pPr>
      <w:r>
        <w:rPr>
          <w:color w:val="000000"/>
          <w:sz w:val="24"/>
          <w:szCs w:val="24"/>
        </w:rPr>
      </w:r>
    </w:p>
    <w:p>
      <w:pPr>
        <w:pStyle w:val="Ttulo21"/>
        <w:rPr/>
      </w:pPr>
      <w:bookmarkStart w:id="36" w:name="_Toc229667209"/>
      <w:r>
        <w:rPr/>
        <w:t>7.4 Sugestão de fluxo</w:t>
      </w:r>
      <w:bookmarkEnd w:id="36"/>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PRIMEIRO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C</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FE</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tcPr>
          <w:p>
            <w:pPr>
              <w:pStyle w:val="Normal"/>
              <w:widowControl w:val="false"/>
              <w:spacing w:lineRule="auto" w:line="276" w:before="0" w:after="0"/>
              <w:jc w:val="left"/>
              <w:rPr>
                <w:b/>
                <w:b/>
                <w:bCs/>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tcPr>
          <w:p>
            <w:pPr>
              <w:pStyle w:val="Normal"/>
              <w:widowControl w:val="false"/>
              <w:spacing w:lineRule="auto" w:line="276" w:before="0" w:after="0"/>
              <w:jc w:val="left"/>
              <w:rPr>
                <w:b/>
                <w:b/>
                <w:bCs/>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SEGUNDO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NL</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NL</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TERCEIRO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NL</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NL</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QUARTO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optativa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NEOP</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QUINTO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Estágio curricular obrigatório</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ECO</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SEXTO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Estágio curricular obrigatório</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ECO</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SÉTIMO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Estágio curricular obrigatório</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ECO</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bl>
    <w:p>
      <w:pPr>
        <w:pStyle w:val="Normal"/>
        <w:widowControl/>
        <w:spacing w:lineRule="auto" w:line="360"/>
        <w:jc w:val="both"/>
        <w:rPr>
          <w:color w:val="000000"/>
          <w:sz w:val="24"/>
          <w:szCs w:val="24"/>
        </w:rPr>
      </w:pPr>
      <w:r>
        <w:rPr>
          <w:color w:val="000000"/>
          <w:sz w:val="24"/>
          <w:szCs w:val="24"/>
        </w:rPr>
      </w:r>
    </w:p>
    <w:tbl>
      <w:tblPr>
        <w:tblStyle w:val="Tabelacomgrade"/>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523"/>
        <w:gridCol w:w="993"/>
        <w:gridCol w:w="1134"/>
        <w:gridCol w:w="814"/>
        <w:gridCol w:w="1164"/>
      </w:tblGrid>
      <w:tr>
        <w:trPr/>
        <w:tc>
          <w:tcPr>
            <w:tcW w:w="9628" w:type="dxa"/>
            <w:gridSpan w:val="5"/>
            <w:tcBorders/>
            <w:shd w:color="auto" w:fill="BFBFBF" w:themeFill="background1" w:themeFillShade="bf" w:val="clear"/>
          </w:tcPr>
          <w:p>
            <w:pPr>
              <w:pStyle w:val="Normal"/>
              <w:widowControl w:val="false"/>
              <w:spacing w:lineRule="auto" w:line="360" w:before="120" w:after="0"/>
              <w:jc w:val="center"/>
              <w:rPr>
                <w:b/>
                <w:b/>
                <w:bCs/>
                <w:color w:val="000000"/>
                <w:sz w:val="24"/>
                <w:szCs w:val="24"/>
              </w:rPr>
            </w:pPr>
            <w:r>
              <w:rPr>
                <w:b/>
                <w:bCs/>
                <w:color w:val="000000"/>
                <w:kern w:val="0"/>
                <w:sz w:val="24"/>
                <w:szCs w:val="24"/>
                <w:lang w:bidi="ar-SA"/>
              </w:rPr>
              <w:t>OITAVO PERÍODO</w:t>
            </w:r>
          </w:p>
        </w:tc>
      </w:tr>
      <w:tr>
        <w:trPr/>
        <w:tc>
          <w:tcPr>
            <w:tcW w:w="552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Componente curricular</w:t>
            </w:r>
          </w:p>
        </w:tc>
        <w:tc>
          <w:tcPr>
            <w:tcW w:w="993"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UA</w:t>
            </w:r>
          </w:p>
        </w:tc>
        <w:tc>
          <w:tcPr>
            <w:tcW w:w="113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Pré-requisito</w:t>
            </w:r>
          </w:p>
        </w:tc>
        <w:tc>
          <w:tcPr>
            <w:tcW w:w="81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CH</w:t>
            </w:r>
          </w:p>
        </w:tc>
        <w:tc>
          <w:tcPr>
            <w:tcW w:w="1164" w:type="dxa"/>
            <w:tcBorders/>
            <w:vAlign w:val="center"/>
          </w:tcPr>
          <w:p>
            <w:pPr>
              <w:pStyle w:val="Normal"/>
              <w:widowControl w:val="false"/>
              <w:spacing w:before="0" w:after="0"/>
              <w:jc w:val="center"/>
              <w:rPr>
                <w:b/>
                <w:b/>
                <w:bCs/>
                <w:color w:val="000000"/>
                <w:sz w:val="24"/>
                <w:szCs w:val="24"/>
              </w:rPr>
            </w:pPr>
            <w:r>
              <w:rPr>
                <w:b/>
                <w:bCs/>
                <w:color w:val="000000"/>
                <w:kern w:val="0"/>
                <w:sz w:val="24"/>
                <w:szCs w:val="24"/>
                <w:lang w:bidi="ar-SA"/>
              </w:rPr>
              <w:t>Natureza</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A</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NC</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Disciplina B</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32</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NEOB</w:t>
            </w:r>
          </w:p>
        </w:tc>
      </w:tr>
      <w:tr>
        <w:trPr/>
        <w:tc>
          <w:tcPr>
            <w:tcW w:w="5523" w:type="dxa"/>
            <w:tcBorders/>
          </w:tcPr>
          <w:p>
            <w:pPr>
              <w:pStyle w:val="Normal"/>
              <w:widowControl w:val="false"/>
              <w:spacing w:lineRule="auto" w:line="276" w:before="0" w:after="0"/>
              <w:jc w:val="left"/>
              <w:rPr>
                <w:color w:val="000000"/>
                <w:sz w:val="24"/>
                <w:szCs w:val="24"/>
              </w:rPr>
            </w:pPr>
            <w:r>
              <w:rPr>
                <w:color w:val="000000"/>
                <w:kern w:val="0"/>
                <w:sz w:val="24"/>
                <w:szCs w:val="24"/>
                <w:lang w:bidi="ar-SA"/>
              </w:rPr>
              <w:t>Estágio curricular obrigatório</w:t>
            </w:r>
          </w:p>
        </w:tc>
        <w:tc>
          <w:tcPr>
            <w:tcW w:w="993"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ICHL</w:t>
            </w:r>
          </w:p>
        </w:tc>
        <w:tc>
          <w:tcPr>
            <w:tcW w:w="113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ECO</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 xml:space="preserve">Atividades de extensão curricularizáveis </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64</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AEC</w:t>
            </w:r>
          </w:p>
        </w:tc>
      </w:tr>
      <w:tr>
        <w:trPr/>
        <w:tc>
          <w:tcPr>
            <w:tcW w:w="7650" w:type="dxa"/>
            <w:gridSpan w:val="3"/>
            <w:tcBorders/>
            <w:vAlign w:val="center"/>
          </w:tcPr>
          <w:p>
            <w:pPr>
              <w:pStyle w:val="Normal"/>
              <w:widowControl w:val="false"/>
              <w:spacing w:lineRule="auto" w:line="276" w:before="0" w:after="0"/>
              <w:jc w:val="left"/>
              <w:rPr>
                <w:color w:val="000000"/>
                <w:sz w:val="24"/>
                <w:szCs w:val="24"/>
              </w:rPr>
            </w:pPr>
            <w:r>
              <w:rPr>
                <w:color w:val="000000"/>
                <w:kern w:val="0"/>
                <w:sz w:val="24"/>
                <w:szCs w:val="24"/>
                <w:lang w:bidi="ar-SA"/>
              </w:rPr>
              <w:t>Atividades complementares</w:t>
            </w:r>
          </w:p>
        </w:tc>
        <w:tc>
          <w:tcPr>
            <w:tcW w:w="81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XX</w:t>
            </w:r>
          </w:p>
        </w:tc>
        <w:tc>
          <w:tcPr>
            <w:tcW w:w="1164" w:type="dxa"/>
            <w:tcBorders/>
            <w:vAlign w:val="center"/>
          </w:tcPr>
          <w:p>
            <w:pPr>
              <w:pStyle w:val="Normal"/>
              <w:widowControl w:val="false"/>
              <w:spacing w:lineRule="auto" w:line="276" w:before="0" w:after="0"/>
              <w:jc w:val="center"/>
              <w:rPr>
                <w:color w:val="000000"/>
                <w:sz w:val="24"/>
                <w:szCs w:val="24"/>
              </w:rPr>
            </w:pPr>
            <w:r>
              <w:rPr>
                <w:color w:val="000000"/>
                <w:kern w:val="0"/>
                <w:sz w:val="24"/>
                <w:szCs w:val="24"/>
                <w:lang w:bidi="ar-SA"/>
              </w:rPr>
              <w:t>AC</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do período</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XX</w:t>
            </w:r>
          </w:p>
        </w:tc>
      </w:tr>
      <w:tr>
        <w:trPr/>
        <w:tc>
          <w:tcPr>
            <w:tcW w:w="8464" w:type="dxa"/>
            <w:gridSpan w:val="4"/>
            <w:tcBorders/>
            <w:vAlign w:val="center"/>
          </w:tcPr>
          <w:p>
            <w:pPr>
              <w:pStyle w:val="Normal"/>
              <w:widowControl w:val="false"/>
              <w:spacing w:lineRule="auto" w:line="276" w:before="0" w:after="0"/>
              <w:jc w:val="left"/>
              <w:rPr>
                <w:color w:val="000000"/>
                <w:sz w:val="24"/>
                <w:szCs w:val="24"/>
              </w:rPr>
            </w:pPr>
            <w:r>
              <w:rPr>
                <w:b/>
                <w:bCs/>
                <w:color w:val="000000"/>
                <w:kern w:val="0"/>
                <w:sz w:val="24"/>
                <w:szCs w:val="24"/>
                <w:lang w:bidi="ar-SA"/>
              </w:rPr>
              <w:t>Carga horária total acumulada</w:t>
            </w:r>
          </w:p>
        </w:tc>
        <w:tc>
          <w:tcPr>
            <w:tcW w:w="1164" w:type="dxa"/>
            <w:tcBorders/>
            <w:vAlign w:val="center"/>
          </w:tcPr>
          <w:p>
            <w:pPr>
              <w:pStyle w:val="Normal"/>
              <w:widowControl w:val="false"/>
              <w:spacing w:lineRule="auto" w:line="276" w:before="0" w:after="0"/>
              <w:jc w:val="center"/>
              <w:rPr>
                <w:b/>
                <w:b/>
                <w:bCs/>
                <w:color w:val="000000"/>
                <w:sz w:val="24"/>
                <w:szCs w:val="24"/>
              </w:rPr>
            </w:pPr>
            <w:r>
              <w:rPr>
                <w:b/>
                <w:bCs/>
                <w:color w:val="000000"/>
                <w:kern w:val="0"/>
                <w:sz w:val="24"/>
                <w:szCs w:val="24"/>
                <w:lang w:bidi="ar-SA"/>
              </w:rPr>
              <w:t>3200</w:t>
            </w:r>
          </w:p>
        </w:tc>
      </w:tr>
    </w:tbl>
    <w:p>
      <w:pPr>
        <w:pStyle w:val="Normal"/>
        <w:widowControl/>
        <w:spacing w:lineRule="auto" w:line="360"/>
        <w:jc w:val="both"/>
        <w:rPr>
          <w:color w:val="000000"/>
          <w:sz w:val="24"/>
          <w:szCs w:val="24"/>
        </w:rPr>
      </w:pPr>
      <w:r>
        <w:rPr>
          <w:color w:val="000000"/>
          <w:sz w:val="24"/>
          <w:szCs w:val="24"/>
        </w:rPr>
      </w:r>
    </w:p>
    <w:p>
      <w:pPr>
        <w:pStyle w:val="ListParagraph"/>
        <w:widowControl/>
        <w:spacing w:lineRule="auto" w:line="360"/>
        <w:ind w:left="0" w:firstLine="567"/>
        <w:jc w:val="both"/>
        <w:rPr>
          <w:color w:val="000000"/>
          <w:sz w:val="24"/>
          <w:szCs w:val="24"/>
        </w:rPr>
      </w:pPr>
      <w:r>
        <w:rPr>
          <w:color w:val="EE0000"/>
          <w:sz w:val="24"/>
          <w:szCs w:val="24"/>
          <w:lang w:val="pt-BR"/>
        </w:rPr>
        <w:t xml:space="preserve">Priorizar a coerência e a flexibilização do fluxo. Integração entre pesquisa, ensino e extensão. Prática distribuída ao longo de todos os períodos e, dentro da possibilidade, estágio a partir do primeiro período para atender a 04/2024. Não sendo possível, ao longo do documento existem pontos onde o curso deve mostrar como mitigar essa situação e expor claramente meios para aproximar a experiência do estudante a realidade que a proposta do estágio nos primeiros períodos possibilitaria. </w:t>
      </w:r>
    </w:p>
    <w:p>
      <w:pPr>
        <w:pStyle w:val="ListParagraph"/>
        <w:widowControl/>
        <w:spacing w:lineRule="auto" w:line="360"/>
        <w:ind w:left="0" w:firstLine="567"/>
        <w:jc w:val="both"/>
        <w:rPr>
          <w:color w:val="000000"/>
          <w:sz w:val="24"/>
          <w:szCs w:val="24"/>
        </w:rPr>
      </w:pPr>
      <w:r>
        <w:rPr>
          <w:color w:val="000000"/>
          <w:sz w:val="24"/>
          <w:szCs w:val="24"/>
        </w:rPr>
      </w:r>
    </w:p>
    <w:p>
      <w:pPr>
        <w:pStyle w:val="Ttulo11"/>
        <w:jc w:val="both"/>
        <w:rPr/>
      </w:pPr>
      <w:bookmarkStart w:id="37" w:name="_Toc229667210"/>
      <w:r>
        <w:rPr/>
        <w:t>8 ESTRATÉGIAS DE ENSINO-APRENDIZAGEM, ACOMPANHAMENTO, ACESSIBILIDADE METODOLÓGICA E AUTONOMIA DISCENTE</w:t>
      </w:r>
      <w:bookmarkEnd w:id="37"/>
    </w:p>
    <w:p>
      <w:pPr>
        <w:pStyle w:val="ListParagraph"/>
        <w:widowControl/>
        <w:spacing w:lineRule="auto" w:line="360"/>
        <w:ind w:left="0" w:firstLine="567"/>
        <w:jc w:val="both"/>
        <w:rPr>
          <w:iCs/>
          <w:color w:val="EE0000"/>
          <w:sz w:val="24"/>
          <w:szCs w:val="24"/>
        </w:rPr>
      </w:pPr>
      <w:r>
        <w:rPr>
          <w:iCs/>
          <w:color w:val="EE0000"/>
          <w:sz w:val="24"/>
          <w:szCs w:val="24"/>
        </w:rPr>
        <w:t>A metodologia, constante no PPC (e de acordo com as DCN), deve atender ao desenvolvimento de conteúdos, às estratégias de aprendizagem, ao contínuo acompanhamento das atividades, à acessibilidade metodológica e à autonomia do discente, coadunar-se com práticas pedagógicas que estimulam a ação discente em uma relação teoria-prática, e ser claramente inovadora e embasada em recursos que proporcionam aprendizagens diferenciadas dentro da área (BRASIL, 2017, p.12).</w:t>
      </w:r>
    </w:p>
    <w:p>
      <w:pPr>
        <w:pStyle w:val="ListParagraph"/>
        <w:widowControl/>
        <w:spacing w:lineRule="auto" w:line="360"/>
        <w:ind w:left="0" w:firstLine="567"/>
        <w:jc w:val="both"/>
        <w:rPr>
          <w:iCs/>
          <w:color w:val="EE0000"/>
          <w:sz w:val="24"/>
          <w:szCs w:val="24"/>
        </w:rPr>
      </w:pPr>
      <w:r>
        <w:rPr>
          <w:iCs/>
          <w:color w:val="EE0000"/>
          <w:sz w:val="24"/>
          <w:szCs w:val="24"/>
        </w:rPr>
        <w:t>Acessibilidade metodológica: Ausência de barreiras nos métodos, teorias e técnicas de ensino/aprendizagem (escolar), de trabalho (profissional), de ação comunitária (social, cultural, artística, etc.), de educação dos filhos (familiar), etc. (BRASIL, 2017, p. 44).</w:t>
      </w:r>
    </w:p>
    <w:p>
      <w:pPr>
        <w:pStyle w:val="ListParagraph"/>
        <w:widowControl/>
        <w:spacing w:lineRule="auto" w:line="360"/>
        <w:ind w:left="0" w:firstLine="567"/>
        <w:jc w:val="both"/>
        <w:rPr>
          <w:iCs/>
          <w:color w:val="EE0000"/>
          <w:sz w:val="24"/>
          <w:szCs w:val="24"/>
        </w:rPr>
      </w:pPr>
      <w:r>
        <w:rPr>
          <w:iCs/>
          <w:color w:val="EE0000"/>
          <w:sz w:val="24"/>
          <w:szCs w:val="24"/>
        </w:rPr>
        <w:t>Construir um texto evidenciando metodologias ativas, a integração teoria e prática, Estratégias interdisciplinares e transdisciplinares, uso de TICs e processos inovadores para aprendizagem, acessibilidade, inclusão e equidade nas estratégias metodológicas.</w:t>
      </w:r>
    </w:p>
    <w:p>
      <w:pPr>
        <w:pStyle w:val="ListParagraph"/>
        <w:widowControl/>
        <w:spacing w:lineRule="auto" w:line="360"/>
        <w:ind w:left="0" w:firstLine="567"/>
        <w:jc w:val="both"/>
        <w:rPr>
          <w:color w:val="EE0000"/>
          <w:sz w:val="24"/>
          <w:szCs w:val="24"/>
        </w:rPr>
      </w:pPr>
      <w:r>
        <w:rPr>
          <w:color w:val="EE0000"/>
          <w:sz w:val="24"/>
          <w:szCs w:val="24"/>
        </w:rPr>
        <w:t xml:space="preserve">No que se refere ao acompanhamento discentes, o curso deve prever mecanismos sistemáticos de monitoramento do desempenho acadêmico, inclusão de tutorias, orientação pedagógica, monitoria e atendimento docente. Explicitar como estas estratégias podem antecipar a tomada de decisões que visem assegurar o êxito no processo de aprendizagem e garantir acessibilidade. </w:t>
      </w:r>
    </w:p>
    <w:p>
      <w:pPr>
        <w:pStyle w:val="ListParagraph"/>
        <w:widowControl/>
        <w:spacing w:lineRule="auto" w:line="360"/>
        <w:ind w:left="0" w:firstLine="567"/>
        <w:jc w:val="both"/>
        <w:rPr>
          <w:color w:val="EE0000"/>
          <w:sz w:val="24"/>
          <w:szCs w:val="24"/>
        </w:rPr>
      </w:pPr>
      <w:r>
        <w:rPr>
          <w:color w:val="EE0000"/>
          <w:sz w:val="24"/>
          <w:szCs w:val="24"/>
        </w:rPr>
        <w:t xml:space="preserve">Explicitar práticas inclusivas condizentes com a diversidade dos estudantes, garantindo condições equitativas de participação e aprendizagem. Flexibilização metodológica é um termo interessante a ser explorado. Uso de recursos pedagógicos variados, políticas institucionais ou do próprio curso, quando existentes.  </w:t>
      </w:r>
    </w:p>
    <w:p>
      <w:pPr>
        <w:pStyle w:val="ListParagraph"/>
        <w:widowControl/>
        <w:spacing w:lineRule="auto" w:line="360"/>
        <w:ind w:left="0" w:firstLine="567"/>
        <w:jc w:val="both"/>
        <w:rPr>
          <w:color w:val="EE0000"/>
          <w:sz w:val="24"/>
          <w:szCs w:val="24"/>
        </w:rPr>
      </w:pPr>
      <w:r>
        <w:rPr>
          <w:color w:val="EE0000"/>
          <w:sz w:val="24"/>
          <w:szCs w:val="24"/>
        </w:rPr>
        <w:t>A promoção da autonomia discente deve ser compreendida como eixo estruturante no processo formativo, incentivada por meio de práticas e metodologias ativas que estimulem a autorregulação da aprendizagem, a iniciativa e a responsabilidade.</w:t>
      </w:r>
    </w:p>
    <w:p>
      <w:pPr>
        <w:pStyle w:val="ListParagraph"/>
        <w:widowControl/>
        <w:spacing w:lineRule="auto" w:line="360"/>
        <w:ind w:left="0" w:firstLine="567"/>
        <w:jc w:val="both"/>
        <w:rPr>
          <w:color w:val="EE0000"/>
          <w:sz w:val="24"/>
          <w:szCs w:val="24"/>
        </w:rPr>
      </w:pPr>
      <w:r>
        <w:rPr>
          <w:color w:val="EE0000"/>
          <w:sz w:val="24"/>
          <w:szCs w:val="24"/>
        </w:rPr>
      </w:r>
    </w:p>
    <w:p>
      <w:pPr>
        <w:pStyle w:val="Ttulo11"/>
        <w:rPr/>
      </w:pPr>
      <w:bookmarkStart w:id="38" w:name="_Toc229667211"/>
      <w:r>
        <w:rPr/>
        <w:t>9 AVALIAÇÕES</w:t>
      </w:r>
      <w:bookmarkEnd w:id="38"/>
    </w:p>
    <w:p>
      <w:pPr>
        <w:pStyle w:val="Ttulo21"/>
        <w:rPr/>
      </w:pPr>
      <w:bookmarkStart w:id="39" w:name="_Toc229667212"/>
      <w:r>
        <w:rPr/>
        <w:t>9.1 Avaliação de aprendizagem</w:t>
      </w:r>
      <w:bookmarkEnd w:id="39"/>
    </w:p>
    <w:p>
      <w:pPr>
        <w:pStyle w:val="ListParagraph"/>
        <w:widowControl/>
        <w:spacing w:lineRule="auto" w:line="360"/>
        <w:ind w:left="0" w:firstLine="567"/>
        <w:jc w:val="both"/>
        <w:rPr>
          <w:color w:val="EE0000"/>
          <w:sz w:val="24"/>
          <w:szCs w:val="24"/>
        </w:rPr>
      </w:pPr>
      <w:r>
        <w:rPr>
          <w:color w:val="EE0000"/>
          <w:sz w:val="24"/>
          <w:szCs w:val="24"/>
        </w:rPr>
        <w:t>A avaliação de aprendizagem constitui um processo continuo, formativo, diagnostico e somativo, orientado para o acompanhamento do desenvolvimento das competências, habilidades e atitudes previstas no perfil do egresso. Deve estar alinhada aos objetivos de aprendizagem, a organização curricular e as metodologias propostas, assegurando coerência entre o que se propõe ensinar. Desde modo, a avaliação deve privilegiar a dimensão formativa, permitindo identificar avanços e dificuldades ao longo do processo acadêmico, subsidiando intervenções metodológicas para progressão do estudante. Claro que outras possibilidades devem ser utilizadas e sempre com uma proposição ativa para o processo de aprendizagem.</w:t>
      </w:r>
    </w:p>
    <w:p>
      <w:pPr>
        <w:pStyle w:val="ListParagraph"/>
        <w:widowControl/>
        <w:spacing w:lineRule="auto" w:line="360"/>
        <w:ind w:left="0" w:firstLine="567"/>
        <w:jc w:val="both"/>
        <w:rPr>
          <w:color w:val="EE0000"/>
          <w:sz w:val="24"/>
          <w:szCs w:val="24"/>
        </w:rPr>
      </w:pPr>
      <w:r>
        <w:rPr>
          <w:color w:val="EE0000"/>
          <w:sz w:val="24"/>
          <w:szCs w:val="24"/>
        </w:rPr>
        <w:t xml:space="preserve">Os instrumentos avaliativos devem ser diversificados e adequados a natureza dos componentes curriculares e da diversidade dos estudantes. Recomenda-se a utilização de metodologias ativas, trabalhos em grupo, provas escritas, orais, relatórios, portfólios, estudos de caso e outras tantas possibilidades, principalmente aquelas que estimulem o protagonismo do discente e a reflexão crítica. Primar pela transparência, equidade e os mecanismos de autoavaliação e feedback. </w:t>
      </w:r>
    </w:p>
    <w:p>
      <w:pPr>
        <w:pStyle w:val="ListParagraph"/>
        <w:widowControl/>
        <w:spacing w:lineRule="auto" w:line="360"/>
        <w:ind w:left="0" w:firstLine="567"/>
        <w:jc w:val="both"/>
        <w:rPr>
          <w:color w:val="EE0000"/>
          <w:sz w:val="24"/>
          <w:szCs w:val="24"/>
        </w:rPr>
      </w:pPr>
      <w:r>
        <w:rPr>
          <w:color w:val="EE0000"/>
          <w:sz w:val="24"/>
          <w:szCs w:val="24"/>
        </w:rPr>
        <w:t>No que se refere as atividades páticas do estágio supervisionado, a avaliação deve considerar o desempenho do estudante em contextos reais e/ou simulados de atuação profissional. A dimensão que considera a avaliação do estágio deve ser profundamente explorada de modo que fique claro a preocupação do curso do processo de avaliação coerente das atividades de estágio a todo o momento de sua prática.</w:t>
      </w:r>
    </w:p>
    <w:p>
      <w:pPr>
        <w:pStyle w:val="ListParagraph"/>
        <w:widowControl/>
        <w:spacing w:lineRule="auto" w:line="360"/>
        <w:ind w:left="0" w:firstLine="567"/>
        <w:jc w:val="both"/>
        <w:rPr>
          <w:color w:val="EE0000"/>
          <w:sz w:val="24"/>
          <w:szCs w:val="24"/>
        </w:rPr>
      </w:pPr>
      <w:r>
        <w:rPr>
          <w:color w:val="EE0000"/>
          <w:sz w:val="24"/>
          <w:szCs w:val="24"/>
        </w:rPr>
        <w:t>A avaliação de aprendizagem deve ser uma ferramenta articulada aos processos da avaliação institucional e da autoavaliação do PPC, contribuindo para o aperfeiçoamento contínuo do currículo.</w:t>
      </w:r>
    </w:p>
    <w:p>
      <w:pPr>
        <w:pStyle w:val="Ttulo21"/>
        <w:rPr/>
      </w:pPr>
      <w:bookmarkStart w:id="40" w:name="_Toc229667213"/>
      <w:r>
        <w:rPr/>
        <w:t>9.2 Autoavaliação institucional</w:t>
      </w:r>
      <w:bookmarkEnd w:id="40"/>
      <w:r>
        <w:rPr/>
        <w:t xml:space="preserve"> </w:t>
      </w:r>
    </w:p>
    <w:p>
      <w:pPr>
        <w:pStyle w:val="ListParagraph"/>
        <w:widowControl/>
        <w:spacing w:lineRule="auto" w:line="360"/>
        <w:ind w:left="0" w:firstLine="567"/>
        <w:jc w:val="both"/>
        <w:rPr>
          <w:color w:val="EE0000"/>
          <w:sz w:val="24"/>
          <w:szCs w:val="24"/>
        </w:rPr>
      </w:pPr>
      <w:r>
        <w:rPr>
          <w:color w:val="EE0000"/>
          <w:sz w:val="24"/>
          <w:szCs w:val="24"/>
        </w:rPr>
        <w:t>Trata-se de um processo sistemático, contínuo e participativo, orientado a análise critica das diversas dimensões acadêmicas, administrativas e pedagógicas da instituição. No âmbito do PPC, este tópico deve explicitar como o curso articula os dados oferecidos pela CPA para seu aprimoramento, a reflexão sobre pontos críticos e fortes de sua política de formação de profissionais.</w:t>
      </w:r>
    </w:p>
    <w:p>
      <w:pPr>
        <w:pStyle w:val="ListParagraph"/>
        <w:widowControl/>
        <w:spacing w:lineRule="auto" w:line="360"/>
        <w:ind w:left="0" w:firstLine="567"/>
        <w:jc w:val="both"/>
        <w:rPr>
          <w:color w:val="EE0000"/>
          <w:sz w:val="24"/>
          <w:szCs w:val="24"/>
        </w:rPr>
      </w:pPr>
      <w:r>
        <w:rPr>
          <w:color w:val="EE0000"/>
          <w:sz w:val="24"/>
          <w:szCs w:val="24"/>
        </w:rPr>
        <w:t xml:space="preserve">A CPA é a instância responsável pela coleta e coordenação das informações relacionadas ao processo de autoavaliação. Deve ser utilizado pelo NDE e coordenação e o PPC deve indicar como o curso utiliza os insumos contidos nos relatórios da CPA para melhoria do currículo. </w:t>
      </w:r>
    </w:p>
    <w:p>
      <w:pPr>
        <w:pStyle w:val="ListParagraph"/>
        <w:widowControl/>
        <w:spacing w:lineRule="auto" w:line="360"/>
        <w:ind w:left="0" w:firstLine="567"/>
        <w:jc w:val="both"/>
        <w:rPr>
          <w:color w:val="EE0000"/>
          <w:sz w:val="24"/>
          <w:szCs w:val="24"/>
        </w:rPr>
      </w:pPr>
      <w:r>
        <w:rPr>
          <w:color w:val="EE0000"/>
          <w:sz w:val="24"/>
          <w:szCs w:val="24"/>
        </w:rPr>
        <w:t>Explicitar mecanismos internos complementares da autoavaliação. Abordar a periodicidade da análise dos dados e as ferramentas para acompanhar os indicadores.</w:t>
      </w:r>
    </w:p>
    <w:p>
      <w:pPr>
        <w:pStyle w:val="Ttulo21"/>
        <w:rPr/>
      </w:pPr>
      <w:bookmarkStart w:id="41" w:name="_Toc229667214"/>
      <w:r>
        <w:rPr/>
        <w:t>9.3 Avaliações externas</w:t>
      </w:r>
      <w:bookmarkEnd w:id="41"/>
      <w:r>
        <w:rPr/>
        <w:t xml:space="preserve"> </w:t>
      </w:r>
    </w:p>
    <w:p>
      <w:pPr>
        <w:pStyle w:val="ListParagraph"/>
        <w:widowControl/>
        <w:spacing w:lineRule="auto" w:line="360"/>
        <w:ind w:left="0" w:firstLine="567"/>
        <w:jc w:val="both"/>
        <w:rPr>
          <w:color w:val="EE0000"/>
          <w:sz w:val="24"/>
          <w:szCs w:val="24"/>
        </w:rPr>
      </w:pPr>
      <w:r>
        <w:rPr>
          <w:color w:val="EE0000"/>
          <w:sz w:val="24"/>
          <w:szCs w:val="24"/>
        </w:rPr>
        <w:t>Constituem instrumentos fundamentais para a verificação da qualidade dos cursos, integrando o SINAES e orientando processos de regulação, supervisão e melhoria contínua. No âmbito do PPC, deve ficar explícito como o curso considera, analisa e utiliza os resultados dessas avaliações de modo a aperfeiçoar a proposta do curso.</w:t>
      </w:r>
    </w:p>
    <w:p>
      <w:pPr>
        <w:pStyle w:val="ListParagraph"/>
        <w:widowControl/>
        <w:spacing w:lineRule="auto" w:line="360"/>
        <w:ind w:left="0" w:firstLine="567"/>
        <w:jc w:val="both"/>
        <w:rPr>
          <w:color w:val="EE0000"/>
          <w:sz w:val="24"/>
          <w:szCs w:val="24"/>
        </w:rPr>
      </w:pPr>
      <w:r>
        <w:rPr>
          <w:color w:val="EE0000"/>
          <w:sz w:val="24"/>
          <w:szCs w:val="24"/>
        </w:rPr>
        <w:t xml:space="preserve">Deve contemplar avaliações como INEP, ENADE, CPC e IGC. Esclarecer como estas avaliações impactam na proposta do curso e são utilizadas para reflexão e aprimoramento do currículo. </w:t>
      </w:r>
    </w:p>
    <w:p>
      <w:pPr>
        <w:pStyle w:val="Ttulo21"/>
        <w:rPr>
          <w:color w:val="000000"/>
        </w:rPr>
      </w:pPr>
      <w:bookmarkStart w:id="42" w:name="_Toc229667215"/>
      <w:r>
        <w:rPr>
          <w:color w:val="000000"/>
        </w:rPr>
        <w:t xml:space="preserve">9.4 </w:t>
      </w:r>
      <w:r>
        <w:rPr/>
        <w:t>Processo Autoavaliativo do Curso e do Projeto Pedagógico de Curso</w:t>
      </w:r>
      <w:bookmarkEnd w:id="42"/>
    </w:p>
    <w:p>
      <w:pPr>
        <w:pStyle w:val="ListParagraph"/>
        <w:widowControl/>
        <w:spacing w:lineRule="auto" w:line="360"/>
        <w:ind w:left="0" w:firstLine="567"/>
        <w:jc w:val="both"/>
        <w:rPr>
          <w:color w:val="EE0000"/>
          <w:sz w:val="24"/>
          <w:szCs w:val="24"/>
        </w:rPr>
      </w:pPr>
      <w:r>
        <w:rPr>
          <w:color w:val="EE0000"/>
          <w:sz w:val="24"/>
          <w:szCs w:val="24"/>
        </w:rPr>
        <w:t>O processo autoavaliativo constitui um instrumento essencial para gestão acadêmica, orientado à análise sistemática, crítica e contínua das condições reais do curso.</w:t>
      </w:r>
    </w:p>
    <w:p>
      <w:pPr>
        <w:pStyle w:val="ListParagraph"/>
        <w:widowControl/>
        <w:spacing w:lineRule="auto" w:line="360"/>
        <w:ind w:left="0" w:firstLine="567"/>
        <w:jc w:val="both"/>
        <w:rPr>
          <w:color w:val="EE0000"/>
          <w:sz w:val="24"/>
          <w:szCs w:val="24"/>
        </w:rPr>
      </w:pPr>
      <w:r>
        <w:rPr>
          <w:color w:val="EE0000"/>
          <w:sz w:val="24"/>
          <w:szCs w:val="24"/>
        </w:rPr>
        <w:t xml:space="preserve">Apontar como os dados são sistematicamente analisados e utilizados para identificar fragilidades e potencialidades. Demonstrar que as avaliações não são apenas uma exigência regulatória, mas uma oportunidade de qualificação institucional, contribuindo para a melhoria do PPC. Este tópico deve explicar que é realizada de forma permanente e participativa envolvendo a coordenação, o NDE, o colegiado e o corpo discente, incluindo, quando pertinente, os egressos. Deve ser articulado com a autoavaliação institucional e contemplar dimensões como a organização didático-pedagógica, coerência entre objetivos e competências, perfil do egresso, metodologias, atuação docente e infraestrutura.  </w:t>
      </w:r>
    </w:p>
    <w:p>
      <w:pPr>
        <w:pStyle w:val="ListParagraph"/>
        <w:widowControl/>
        <w:spacing w:lineRule="auto" w:line="360"/>
        <w:ind w:left="0" w:firstLine="567"/>
        <w:jc w:val="both"/>
        <w:rPr>
          <w:color w:val="EE0000"/>
          <w:sz w:val="24"/>
          <w:szCs w:val="24"/>
        </w:rPr>
      </w:pPr>
      <w:r>
        <w:rPr>
          <w:color w:val="EE0000"/>
          <w:sz w:val="24"/>
          <w:szCs w:val="24"/>
        </w:rPr>
        <w:t>O PPC deve explorar a utilização de múltiplos instrumentos de coleta de dados e explicar como os resultados são sistematizados, analisados e discutidos, alem da periodicidade dos processos. Adicionalmente, deve prever a devolutiva dos resultados promovendo a participação e a cultura da avaliação como ferramenta de melhoria.</w:t>
      </w:r>
    </w:p>
    <w:p>
      <w:pPr>
        <w:pStyle w:val="ListParagraph"/>
        <w:widowControl/>
        <w:spacing w:lineRule="auto" w:line="360"/>
        <w:ind w:left="0" w:firstLine="567"/>
        <w:jc w:val="both"/>
        <w:rPr>
          <w:color w:val="EE0000"/>
          <w:sz w:val="24"/>
          <w:szCs w:val="24"/>
        </w:rPr>
      </w:pPr>
      <w:r>
        <w:rPr>
          <w:color w:val="EE0000"/>
          <w:sz w:val="24"/>
          <w:szCs w:val="24"/>
        </w:rPr>
      </w:r>
    </w:p>
    <w:p>
      <w:pPr>
        <w:pStyle w:val="Ttulo11"/>
        <w:rPr/>
      </w:pPr>
      <w:bookmarkStart w:id="43" w:name="_Toc229667216"/>
      <w:r>
        <w:rPr/>
        <w:t>10 POLÍTICA E GESTÃO DE ESTÁGIO</w:t>
      </w:r>
      <w:bookmarkEnd w:id="43"/>
      <w:r>
        <w:rPr/>
        <w:t xml:space="preserve"> </w:t>
      </w:r>
    </w:p>
    <w:p>
      <w:pPr>
        <w:pStyle w:val="Ttulo21"/>
        <w:rPr/>
      </w:pPr>
      <w:bookmarkStart w:id="44" w:name="_Toc229667217"/>
      <w:r>
        <w:rPr/>
        <w:t>10.1 Estágio curricular supervisionado obrigatório</w:t>
      </w:r>
      <w:bookmarkEnd w:id="44"/>
    </w:p>
    <w:p>
      <w:pPr>
        <w:pStyle w:val="Ttulo21"/>
        <w:rPr/>
      </w:pPr>
      <w:bookmarkStart w:id="45" w:name="_Toc229667218"/>
      <w:r>
        <w:rPr/>
        <w:t>10.2 Estágio curricular supervisionado não obrigatório</w:t>
      </w:r>
      <w:bookmarkEnd w:id="45"/>
    </w:p>
    <w:p>
      <w:pPr>
        <w:pStyle w:val="Normal"/>
        <w:pBdr/>
        <w:tabs>
          <w:tab w:val="clear" w:pos="708"/>
          <w:tab w:val="left" w:pos="711" w:leader="none"/>
        </w:tabs>
        <w:spacing w:lineRule="auto" w:line="360"/>
        <w:ind w:left="915" w:right="162" w:firstLine="567"/>
        <w:jc w:val="both"/>
        <w:rPr>
          <w:color w:val="FF0000"/>
          <w:sz w:val="24"/>
          <w:szCs w:val="24"/>
        </w:rPr>
      </w:pPr>
      <w:r>
        <w:rPr>
          <w:color w:val="FF0000"/>
          <w:sz w:val="24"/>
          <w:szCs w:val="24"/>
        </w:rPr>
        <w:t>Quanto ao conceito e perfil de atuação, apresentar definição do que é o estágio e expressar como este contribui para a formação profissional do aluno e áreas de atuação que o curso prevê para seus acadêmicos;</w:t>
      </w:r>
    </w:p>
    <w:p>
      <w:pPr>
        <w:pStyle w:val="Normal"/>
        <w:pBdr/>
        <w:tabs>
          <w:tab w:val="clear" w:pos="708"/>
          <w:tab w:val="left" w:pos="711" w:leader="none"/>
        </w:tabs>
        <w:spacing w:lineRule="auto" w:line="360"/>
        <w:ind w:left="915" w:right="162" w:firstLine="567"/>
        <w:jc w:val="both"/>
        <w:rPr>
          <w:color w:val="FF0000"/>
          <w:sz w:val="24"/>
          <w:szCs w:val="24"/>
        </w:rPr>
      </w:pPr>
      <w:r>
        <w:rPr>
          <w:color w:val="FF0000"/>
          <w:sz w:val="24"/>
          <w:szCs w:val="24"/>
        </w:rPr>
        <w:t>- No conceito e perfil de atuação, apresentar definição do que é o estágio e expressar como este contribui para a formação profissional do aluno e áreas de atuação que o curso prevê para seus acadêmicos;</w:t>
      </w:r>
    </w:p>
    <w:p>
      <w:pPr>
        <w:pStyle w:val="Normal"/>
        <w:pBdr/>
        <w:tabs>
          <w:tab w:val="clear" w:pos="708"/>
          <w:tab w:val="left" w:pos="711" w:leader="none"/>
        </w:tabs>
        <w:spacing w:lineRule="auto" w:line="360"/>
        <w:ind w:left="915" w:right="162" w:firstLine="567"/>
        <w:jc w:val="both"/>
        <w:rPr>
          <w:color w:val="FF0000"/>
          <w:sz w:val="24"/>
          <w:szCs w:val="24"/>
        </w:rPr>
      </w:pPr>
      <w:r>
        <w:rPr>
          <w:color w:val="FF0000"/>
          <w:sz w:val="24"/>
          <w:szCs w:val="24"/>
        </w:rPr>
        <w:t xml:space="preserve">- A resolução 04/2024 em seu art. 13, </w:t>
      </w:r>
      <w:r>
        <w:rPr>
          <w:color w:val="FF0000"/>
          <w:sz w:val="24"/>
          <w:szCs w:val="24"/>
          <w:lang w:val="pt-BR"/>
        </w:rPr>
        <w:t xml:space="preserve">§ 5º, item </w:t>
      </w:r>
      <w:r>
        <w:rPr>
          <w:color w:val="FF0000"/>
          <w:sz w:val="24"/>
          <w:szCs w:val="24"/>
        </w:rPr>
        <w:t>I preconiza que a carga horária do estágio deve ter suas horas distribuídas ao longo do programa de formação, iniciando desde o primeiro semestre do curso. Entretanto, baseado no princípio da autonomia universitária, é plausível que esta obrigatoriedade seja maleável visto as características dos cursos de licenciatura da UFJ. Todavia, o curso deve deixar explicito no PPC as estratégias para mitigar os possíveis prejuízos do não atendimento dessa orientação, trazendo ações concretas que validem a experiência da atuação profissional na prática do curso desde o primeiro período até o início efetivo do estágio obrigatório. Nestes casos, a CCARD sugere que o curso construa um texto explorando o conceito amplo de entendimento do estágio não apenas como a unidade curricular engessada do estágio curricular obrigatório, mas um conjunto de habilidades a serem desenvolvidos desde o primeiro período, inserido em disciplinas, discussões e atividades formativas diversas que extrapolam o conceito formal de estágio curricular. Trata-se de uma vivência gradual, desde a entrada do estudante no curso de licenciatura até o momento em que de fato ele aplica suas habilidades, ainda em desenvolvimento, nas atividades de estágio formalizado pelas disciplinas de ECO. Dentre os termos sugeridos para destacar tal percepção, propõem-se que o estágio é trabalhado a partir de uma imersão progressiva que prepara o estudante para uma aproximação escolar por meio de atividades e disciplinas preparatórias a prática do ECO. Destacar quais são tais atividades e disciplinas e o papel delas como preparatórias à prática imersiva desenvolvida propriamente pelo ECO.</w:t>
      </w:r>
    </w:p>
    <w:p>
      <w:pPr>
        <w:pStyle w:val="Normal"/>
        <w:pBdr/>
        <w:tabs>
          <w:tab w:val="clear" w:pos="708"/>
          <w:tab w:val="left" w:pos="711" w:leader="none"/>
        </w:tabs>
        <w:spacing w:lineRule="auto" w:line="360"/>
        <w:ind w:left="915" w:right="162" w:firstLine="567"/>
        <w:jc w:val="both"/>
        <w:rPr>
          <w:color w:val="FF0000"/>
          <w:sz w:val="24"/>
          <w:szCs w:val="24"/>
        </w:rPr>
      </w:pPr>
      <w:r>
        <w:rPr>
          <w:color w:val="FF0000"/>
          <w:sz w:val="24"/>
          <w:szCs w:val="24"/>
        </w:rPr>
        <w:t>- Na política de estágio curricular especificar:</w:t>
      </w:r>
    </w:p>
    <w:p>
      <w:pPr>
        <w:pStyle w:val="Normal"/>
        <w:numPr>
          <w:ilvl w:val="1"/>
          <w:numId w:val="1"/>
        </w:numPr>
        <w:pBdr/>
        <w:tabs>
          <w:tab w:val="clear" w:pos="708"/>
          <w:tab w:val="left" w:pos="817" w:leader="none"/>
        </w:tabs>
        <w:spacing w:lineRule="auto" w:line="360"/>
        <w:ind w:left="0" w:right="166" w:firstLine="567"/>
        <w:jc w:val="both"/>
        <w:rPr>
          <w:color w:val="FF0000"/>
          <w:sz w:val="24"/>
          <w:szCs w:val="24"/>
        </w:rPr>
      </w:pPr>
      <w:r>
        <w:rPr>
          <w:color w:val="FF0000"/>
          <w:sz w:val="24"/>
          <w:szCs w:val="24"/>
        </w:rPr>
        <w:t>como os estágios obrigatório e não obrigatório serão desenvolvidos e a partir de que período do curso os estudantes estarão aptos a realizá-los;</w:t>
      </w:r>
    </w:p>
    <w:p>
      <w:pPr>
        <w:pStyle w:val="Normal"/>
        <w:numPr>
          <w:ilvl w:val="1"/>
          <w:numId w:val="1"/>
        </w:numPr>
        <w:pBdr/>
        <w:tabs>
          <w:tab w:val="clear" w:pos="708"/>
          <w:tab w:val="left" w:pos="814" w:leader="none"/>
        </w:tabs>
        <w:spacing w:lineRule="auto" w:line="360"/>
        <w:ind w:left="0" w:firstLine="567"/>
        <w:jc w:val="both"/>
        <w:rPr>
          <w:color w:val="FF0000"/>
          <w:sz w:val="24"/>
          <w:szCs w:val="24"/>
        </w:rPr>
      </w:pPr>
      <w:r>
        <w:rPr>
          <w:color w:val="FF0000"/>
          <w:sz w:val="24"/>
          <w:szCs w:val="24"/>
        </w:rPr>
        <w:t>os nomes dos componentes curriculares e respectivas cargas horárias;</w:t>
      </w:r>
    </w:p>
    <w:p>
      <w:pPr>
        <w:pStyle w:val="Normal"/>
        <w:numPr>
          <w:ilvl w:val="1"/>
          <w:numId w:val="1"/>
        </w:numPr>
        <w:pBdr/>
        <w:tabs>
          <w:tab w:val="clear" w:pos="708"/>
          <w:tab w:val="left" w:pos="801" w:leader="none"/>
        </w:tabs>
        <w:spacing w:lineRule="auto" w:line="360"/>
        <w:ind w:left="0" w:firstLine="567"/>
        <w:jc w:val="both"/>
        <w:rPr>
          <w:color w:val="FF0000"/>
          <w:sz w:val="24"/>
          <w:szCs w:val="24"/>
        </w:rPr>
      </w:pPr>
      <w:r>
        <w:rPr>
          <w:color w:val="FF0000"/>
          <w:sz w:val="24"/>
          <w:szCs w:val="24"/>
        </w:rPr>
        <w:t>como se darão a coordenação, orientação e supervisão;</w:t>
      </w:r>
    </w:p>
    <w:p>
      <w:pPr>
        <w:pStyle w:val="Normal"/>
        <w:pBdr/>
        <w:tabs>
          <w:tab w:val="clear" w:pos="708"/>
          <w:tab w:val="left" w:pos="854" w:leader="none"/>
        </w:tabs>
        <w:spacing w:lineRule="auto" w:line="360"/>
        <w:ind w:left="915" w:right="163" w:firstLine="567"/>
        <w:jc w:val="both"/>
        <w:rPr>
          <w:color w:val="FF0000"/>
          <w:sz w:val="24"/>
          <w:szCs w:val="24"/>
        </w:rPr>
      </w:pPr>
      <w:r>
        <w:rPr>
          <w:color w:val="FF0000"/>
          <w:sz w:val="24"/>
          <w:szCs w:val="24"/>
        </w:rPr>
        <w:t>- Contemplar as seguintes orientações, tanto para o estágio curricular obrigatório quanto para o não obrigatório:</w:t>
      </w:r>
    </w:p>
    <w:p>
      <w:pPr>
        <w:pStyle w:val="Normal"/>
        <w:numPr>
          <w:ilvl w:val="0"/>
          <w:numId w:val="2"/>
        </w:numPr>
        <w:pBdr/>
        <w:tabs>
          <w:tab w:val="clear" w:pos="708"/>
          <w:tab w:val="left" w:pos="814" w:leader="none"/>
        </w:tabs>
        <w:spacing w:lineRule="auto" w:line="360"/>
        <w:ind w:left="0" w:firstLine="567"/>
        <w:jc w:val="both"/>
        <w:rPr>
          <w:color w:val="FF0000"/>
          <w:sz w:val="24"/>
          <w:szCs w:val="24"/>
        </w:rPr>
      </w:pPr>
      <w:r>
        <w:rPr>
          <w:color w:val="FF0000"/>
          <w:sz w:val="24"/>
          <w:szCs w:val="24"/>
        </w:rPr>
        <w:t>ser realizado apenas em instituições e/ou empresas devidamente conveniadas com a UFJ;</w:t>
      </w:r>
    </w:p>
    <w:p>
      <w:pPr>
        <w:pStyle w:val="Normal"/>
        <w:numPr>
          <w:ilvl w:val="0"/>
          <w:numId w:val="2"/>
        </w:numPr>
        <w:pBdr/>
        <w:tabs>
          <w:tab w:val="clear" w:pos="708"/>
          <w:tab w:val="left" w:pos="814" w:leader="none"/>
        </w:tabs>
        <w:spacing w:lineRule="auto" w:line="360"/>
        <w:ind w:left="0" w:firstLine="567"/>
        <w:jc w:val="both"/>
        <w:rPr>
          <w:color w:val="FF0000"/>
          <w:sz w:val="24"/>
          <w:szCs w:val="24"/>
        </w:rPr>
      </w:pPr>
      <w:r>
        <w:rPr>
          <w:color w:val="FF0000"/>
          <w:sz w:val="24"/>
          <w:szCs w:val="24"/>
        </w:rPr>
        <w:t>ter um supervisor no local de estágio;</w:t>
      </w:r>
    </w:p>
    <w:p>
      <w:pPr>
        <w:pStyle w:val="Normal"/>
        <w:numPr>
          <w:ilvl w:val="0"/>
          <w:numId w:val="2"/>
        </w:numPr>
        <w:pBdr/>
        <w:tabs>
          <w:tab w:val="clear" w:pos="708"/>
          <w:tab w:val="left" w:pos="814" w:leader="none"/>
        </w:tabs>
        <w:spacing w:lineRule="auto" w:line="360"/>
        <w:ind w:left="0" w:firstLine="567"/>
        <w:jc w:val="both"/>
        <w:rPr>
          <w:color w:val="FF0000"/>
          <w:sz w:val="24"/>
          <w:szCs w:val="24"/>
        </w:rPr>
      </w:pPr>
      <w:r>
        <w:rPr>
          <w:color w:val="FF0000"/>
          <w:sz w:val="24"/>
          <w:szCs w:val="24"/>
        </w:rPr>
        <w:t>ter como orientador um professor do curso;</w:t>
      </w:r>
    </w:p>
    <w:p>
      <w:pPr>
        <w:pStyle w:val="Normal"/>
        <w:numPr>
          <w:ilvl w:val="0"/>
          <w:numId w:val="2"/>
        </w:numPr>
        <w:pBdr/>
        <w:tabs>
          <w:tab w:val="clear" w:pos="708"/>
          <w:tab w:val="left" w:pos="814" w:leader="none"/>
        </w:tabs>
        <w:spacing w:lineRule="auto" w:line="360"/>
        <w:ind w:left="0" w:firstLine="567"/>
        <w:jc w:val="both"/>
        <w:rPr>
          <w:color w:val="FF0000"/>
          <w:sz w:val="24"/>
          <w:szCs w:val="24"/>
        </w:rPr>
      </w:pPr>
      <w:r>
        <w:rPr>
          <w:color w:val="FF0000"/>
          <w:sz w:val="24"/>
          <w:szCs w:val="24"/>
        </w:rPr>
        <w:t>destacar a documentação que garante a legalidade do estágio;</w:t>
      </w:r>
    </w:p>
    <w:p>
      <w:pPr>
        <w:pStyle w:val="Normal"/>
        <w:pBdr/>
        <w:spacing w:lineRule="auto" w:line="360"/>
        <w:ind w:left="915" w:right="161" w:firstLine="567"/>
        <w:jc w:val="both"/>
        <w:rPr>
          <w:color w:val="FF0000"/>
          <w:sz w:val="24"/>
          <w:szCs w:val="24"/>
        </w:rPr>
      </w:pPr>
      <w:r>
        <w:rPr>
          <w:color w:val="FF0000"/>
          <w:sz w:val="24"/>
          <w:szCs w:val="24"/>
        </w:rPr>
        <w:t>IV- no que diz respeito a estágio feito fora do país, explicitar que seu reconhecimento como estágio curricular obrigatório estará condicionado ao cumprimento dos pré-requisitos acadêmicos e ao atendimento das exigências definidas no Regulamento de Estágio do Curso.</w:t>
      </w:r>
    </w:p>
    <w:p>
      <w:pPr>
        <w:pStyle w:val="Normal"/>
        <w:pBdr/>
        <w:spacing w:lineRule="auto" w:line="360"/>
        <w:ind w:left="915" w:right="159" w:firstLine="567"/>
        <w:jc w:val="both"/>
        <w:rPr>
          <w:color w:val="FF0000"/>
          <w:sz w:val="24"/>
          <w:szCs w:val="24"/>
        </w:rPr>
      </w:pPr>
      <w:r>
        <w:rPr>
          <w:color w:val="FF0000"/>
          <w:sz w:val="24"/>
          <w:szCs w:val="24"/>
        </w:rPr>
        <w:t>Parágrafo único. O Regulamento de Estágio, embora obrigatório, não integra o PPC, devendo ser entregue diretamente à Coordenação Geral de Estágio da PROGRAD, contendo as normas de frequência, acompanhamento e avaliação do estágio, bem como todos os formulários necessários ao seu desenvolvimento. 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o(s)ambiente(s) de estágio, possibilitando atualização permanente das práticas do estágio.</w:t>
      </w:r>
    </w:p>
    <w:p>
      <w:pPr>
        <w:pStyle w:val="Normal"/>
        <w:pBdr/>
        <w:spacing w:lineRule="auto" w:line="360"/>
        <w:ind w:left="915" w:right="161" w:firstLine="567"/>
        <w:jc w:val="both"/>
        <w:rPr>
          <w:color w:val="FF0000"/>
          <w:sz w:val="24"/>
          <w:szCs w:val="24"/>
        </w:rPr>
      </w:pPr>
      <w:r>
        <w:rPr>
          <w:color w:val="FF0000"/>
          <w:sz w:val="24"/>
          <w:szCs w:val="24"/>
        </w:rPr>
        <w:t>Para elaboração da política e gestão do estágio curricular obrigatório e não obrigatório consultar, entre outras, a seguinte legislação: LEI 11.788/2008, Resolução CEPEC nº 1538, Resolução CEPEC nº 1539 (ou as resoluções específicas da UFJ, quando aprovadas).</w:t>
      </w:r>
    </w:p>
    <w:p>
      <w:pPr>
        <w:pStyle w:val="Normal"/>
        <w:spacing w:lineRule="auto" w:line="360"/>
        <w:jc w:val="both"/>
        <w:rPr>
          <w:color w:val="FF0000"/>
          <w:sz w:val="24"/>
          <w:szCs w:val="24"/>
        </w:rPr>
      </w:pPr>
      <w:r>
        <w:rPr>
          <w:color w:val="FF0000"/>
          <w:sz w:val="24"/>
          <w:szCs w:val="24"/>
        </w:rPr>
        <w:t>O que o indicador 1.7 Estágio curricular supervisionado (IACG, 2017) pede para que a nota dada pelo avaliador seja máxima no indicador (nota 5): 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o(s)ambiente(s) de estágio, possibilitando atualização permanente das práticas do estágio.</w:t>
      </w:r>
    </w:p>
    <w:p>
      <w:pPr>
        <w:pStyle w:val="Normal"/>
        <w:spacing w:lineRule="auto" w:line="360"/>
        <w:jc w:val="both"/>
        <w:rPr>
          <w:sz w:val="24"/>
          <w:szCs w:val="24"/>
        </w:rPr>
      </w:pPr>
      <w:r>
        <w:rPr>
          <w:sz w:val="24"/>
          <w:szCs w:val="24"/>
        </w:rPr>
      </w:r>
    </w:p>
    <w:p>
      <w:pPr>
        <w:pStyle w:val="Ttulo11"/>
        <w:rPr>
          <w:color w:val="FF0000"/>
        </w:rPr>
      </w:pPr>
      <w:bookmarkStart w:id="46" w:name="_Toc229667219"/>
      <w:r>
        <w:rPr/>
        <w:t>11 ATIVIDADES COMPLEMENTARES</w:t>
      </w:r>
      <w:bookmarkEnd w:id="46"/>
    </w:p>
    <w:p>
      <w:pPr>
        <w:pStyle w:val="Normal"/>
        <w:pBdr/>
        <w:spacing w:lineRule="auto" w:line="360"/>
        <w:ind w:left="915" w:right="161" w:firstLine="567"/>
        <w:jc w:val="both"/>
        <w:rPr>
          <w:color w:val="FF0000"/>
          <w:sz w:val="24"/>
          <w:szCs w:val="24"/>
        </w:rPr>
      </w:pPr>
      <w:r>
        <w:rPr>
          <w:color w:val="FF0000"/>
          <w:sz w:val="24"/>
          <w:szCs w:val="24"/>
        </w:rPr>
        <w:t xml:space="preserve">A UFJ não determina a CH total de atividades complementares, mas o RGG indica a obrigatoriedade de que constem no PPC dos cursos. </w:t>
      </w:r>
    </w:p>
    <w:p>
      <w:pPr>
        <w:pStyle w:val="Normal"/>
        <w:pBdr/>
        <w:spacing w:lineRule="auto" w:line="360"/>
        <w:ind w:left="915" w:right="161" w:firstLine="567"/>
        <w:jc w:val="both"/>
        <w:rPr>
          <w:color w:val="FF0000"/>
          <w:sz w:val="24"/>
          <w:szCs w:val="24"/>
        </w:rPr>
      </w:pPr>
      <w:r>
        <w:rPr>
          <w:color w:val="FF0000"/>
          <w:sz w:val="24"/>
          <w:szCs w:val="24"/>
        </w:rPr>
        <w:t xml:space="preserve">Este tópico deve descrever como as atividades são importantes para formação do discente e complementares ao currículo obrigatório, fomentando a formação no aspecto multidisciplinar. Trata-se da participação, sem vínculo empregatício, em pesquisas, conferências, seminários, palestras, congressos, debates e outras atividades científicas, artísticas e culturais. </w:t>
      </w:r>
    </w:p>
    <w:p>
      <w:pPr>
        <w:pStyle w:val="Normal"/>
        <w:pBdr/>
        <w:spacing w:lineRule="auto" w:line="360"/>
        <w:ind w:left="915" w:right="161" w:firstLine="567"/>
        <w:jc w:val="both"/>
        <w:rPr>
          <w:color w:val="FF0000"/>
          <w:sz w:val="24"/>
          <w:szCs w:val="24"/>
        </w:rPr>
      </w:pPr>
      <w:r>
        <w:rPr>
          <w:color w:val="FF0000"/>
          <w:sz w:val="24"/>
          <w:szCs w:val="24"/>
        </w:rPr>
        <w:t xml:space="preserve">As atividades complementares devem estar institucionalizadas e considerar a carga horária, a diversidade de atividades e de formas de aproveitamento, a aderência à formação geral e específica do discente, constante no PPC, e a existência de mecanismos comprovadamente exitosos ou inovadores na sua regulação, gestão e aproveitamento. O curso deve estabelecer em regulamento próprio, que não integra o PPC, as normas para validação das atividades complementares. </w:t>
      </w:r>
    </w:p>
    <w:p>
      <w:pPr>
        <w:pStyle w:val="Normal"/>
        <w:pBdr/>
        <w:spacing w:lineRule="auto" w:line="360"/>
        <w:ind w:left="915" w:right="161" w:firstLine="567"/>
        <w:jc w:val="both"/>
        <w:rPr>
          <w:color w:val="FF0000"/>
          <w:sz w:val="24"/>
          <w:szCs w:val="24"/>
        </w:rPr>
      </w:pPr>
      <w:r>
        <w:rPr>
          <w:color w:val="FF0000"/>
          <w:sz w:val="24"/>
          <w:szCs w:val="24"/>
        </w:rPr>
        <w:t>OBS: Neste item é necessário destacar que existe um regulamento próprio para as atividades complementares aprovado pelo colegiado que está disponível para acesso na página do curso com a carga horária máxima por atividade. Consultar legislação vigente sobre a quantidade mínima de horas exigida a cada curso de graduação. Obrigatório para os cursos cujas DCNs preveem atividades complementares.</w:t>
      </w:r>
    </w:p>
    <w:p>
      <w:pPr>
        <w:pStyle w:val="Normal"/>
        <w:spacing w:lineRule="auto" w:line="360"/>
        <w:ind w:left="915" w:firstLine="567"/>
        <w:jc w:val="both"/>
        <w:rPr>
          <w:color w:val="FF0000"/>
          <w:sz w:val="24"/>
          <w:szCs w:val="24"/>
        </w:rPr>
      </w:pPr>
      <w:r>
        <w:rPr>
          <w:color w:val="FF0000"/>
          <w:sz w:val="24"/>
          <w:szCs w:val="24"/>
        </w:rPr>
      </w:r>
    </w:p>
    <w:p>
      <w:pPr>
        <w:pStyle w:val="Ttulo11"/>
        <w:rPr>
          <w:color w:val="FF0000"/>
        </w:rPr>
      </w:pPr>
      <w:bookmarkStart w:id="47" w:name="_Toc229667220"/>
      <w:r>
        <w:rPr/>
        <w:t>12 TRABALHO DE CONCLUSÃO DE CURSO</w:t>
      </w:r>
      <w:bookmarkEnd w:id="47"/>
    </w:p>
    <w:p>
      <w:pPr>
        <w:pStyle w:val="Normal"/>
        <w:spacing w:lineRule="auto" w:line="360"/>
        <w:ind w:left="915" w:firstLine="567"/>
        <w:jc w:val="both"/>
        <w:rPr>
          <w:color w:val="FF0000"/>
          <w:sz w:val="24"/>
          <w:szCs w:val="24"/>
          <w:lang w:val="pt-BR"/>
        </w:rPr>
      </w:pPr>
      <w:r>
        <w:rPr>
          <w:color w:val="FF0000"/>
          <w:sz w:val="24"/>
          <w:szCs w:val="24"/>
          <w:lang w:val="pt-BR"/>
        </w:rPr>
        <w:t xml:space="preserve">O Trabalho de Conclusão de Curso (TCC) constitui componente curricular que, quando presente, é de natureza específica obrigatória, sendo integrador aos demais componentes curriculares. Segundo o RGG, trata-se de uma atividade orientada que deve ser precedido de disciplinas que subsidiem a produção do trabalho final de curso. Ele é destinado a síntese e aplicação dos conhecimentos, competências e habilidades desenvolvidos ao longo da formação acadêmica. </w:t>
      </w:r>
    </w:p>
    <w:p>
      <w:pPr>
        <w:pStyle w:val="Normal"/>
        <w:spacing w:lineRule="auto" w:line="360"/>
        <w:ind w:left="915" w:firstLine="567"/>
        <w:jc w:val="both"/>
        <w:rPr>
          <w:color w:val="FF0000"/>
          <w:sz w:val="24"/>
          <w:szCs w:val="24"/>
        </w:rPr>
      </w:pPr>
      <w:r>
        <w:rPr>
          <w:color w:val="FF0000"/>
          <w:sz w:val="24"/>
          <w:szCs w:val="24"/>
        </w:rPr>
        <w:t xml:space="preserve">Configura-se como uma atividade de carater investigativo, técnico, científico ou tecnológico, que evidencia a capacidade do estudante em articular teoria e prática, bem como atuar de forma crítica, ética e autônoma diante de uma proposta vinculada a prática profissional. Deve ser desenvolvido sob orientação docente e ao longo de etapas definidas e explicitas no PPC. Para os cursos de licenciatura, é recomendado que preferencialmente possua carater investigativo na área da educação.  </w:t>
      </w:r>
    </w:p>
    <w:p>
      <w:pPr>
        <w:pStyle w:val="Normal"/>
        <w:spacing w:lineRule="auto" w:line="360"/>
        <w:ind w:left="915" w:firstLine="567"/>
        <w:jc w:val="both"/>
        <w:rPr>
          <w:color w:val="FF0000"/>
          <w:sz w:val="24"/>
          <w:szCs w:val="24"/>
          <w:lang w:val="pt-BR"/>
        </w:rPr>
      </w:pPr>
      <w:r>
        <w:rPr>
          <w:color w:val="FF0000"/>
          <w:sz w:val="24"/>
          <w:szCs w:val="24"/>
          <w:lang w:val="pt-BR"/>
        </w:rPr>
        <w:t>Explicitar as diretrizes para o TCC e, embora não deva constar no documento do PPC, deve possuir um regulamento próprio com as normas para elaboração do TCC e detalhes específicos. Obrigatório para cursos cujas DCN preveem TCC. Não se aplica a cursos que não contemplam TCC no PPC (desde que não esteja previsto nas DCN). O Trabalho de Conclusão de Curso está institucionalizado e considera carga horária, formas de apresentação, orientação e coordenação, a divulgação de manuais atualizados de apoio à produção dos trabalhos e a disponibilização dos TCC no repositório institucional (RI), acessíveis pela internet. Destacar a existência de uma normativa específica para o RI, bem como particularidades sobre a obrigatoriedade do depósito legal. Resolução Consuni 033/2022 de 28 de setembro de 2022.</w:t>
      </w:r>
    </w:p>
    <w:p>
      <w:pPr>
        <w:pStyle w:val="Normal"/>
        <w:spacing w:lineRule="auto" w:line="360"/>
        <w:ind w:left="915" w:firstLine="567"/>
        <w:jc w:val="both"/>
        <w:rPr>
          <w:color w:val="FF0000"/>
          <w:sz w:val="24"/>
          <w:szCs w:val="24"/>
          <w:lang w:val="pt-BR"/>
        </w:rPr>
      </w:pPr>
      <w:r>
        <w:rPr>
          <w:color w:val="FF0000"/>
          <w:sz w:val="24"/>
          <w:szCs w:val="24"/>
          <w:lang w:val="pt-BR"/>
        </w:rPr>
        <w:t>O que o indicador 1.11 Trabalhos de Conclusão de Curso (TCC) (IACG, 2017) pede para que a nota dada pelo avaliador seja máxima no indicador (nota 5):</w:t>
      </w:r>
      <w:r>
        <w:rPr>
          <w:b/>
          <w:color w:val="FF0000"/>
          <w:sz w:val="24"/>
          <w:szCs w:val="24"/>
          <w:lang w:val="pt-BR"/>
        </w:rPr>
        <w:t xml:space="preserve"> </w:t>
      </w:r>
      <w:r>
        <w:rPr>
          <w:bCs/>
          <w:color w:val="FF0000"/>
          <w:sz w:val="24"/>
          <w:szCs w:val="24"/>
          <w:lang w:val="pt-BR"/>
        </w:rPr>
        <w:t>O Trabalho de Conclusão de Curso está institucionalizado e considera carga horária, formas de apresentação, orientação e coordenação, a divulgação de manuais atualizados de apoio à produção dos trabalhos e a disponibilização dos TCC em repositórios institucionais próprios, acessíveis pela internet.</w:t>
      </w:r>
    </w:p>
    <w:p>
      <w:pPr>
        <w:pStyle w:val="Normal"/>
        <w:spacing w:lineRule="auto" w:line="360"/>
        <w:ind w:left="915" w:firstLine="567"/>
        <w:jc w:val="both"/>
        <w:rPr>
          <w:color w:val="FF0000"/>
          <w:sz w:val="24"/>
          <w:szCs w:val="24"/>
          <w:lang w:val="pt-BR"/>
        </w:rPr>
      </w:pPr>
      <w:r>
        <w:rPr>
          <w:color w:val="FF0000"/>
          <w:sz w:val="24"/>
          <w:szCs w:val="24"/>
          <w:lang w:val="pt-BR"/>
        </w:rPr>
      </w:r>
    </w:p>
    <w:p>
      <w:pPr>
        <w:pStyle w:val="Ttulo11"/>
        <w:rPr>
          <w:color w:val="FF0000"/>
        </w:rPr>
      </w:pPr>
      <w:bookmarkStart w:id="48" w:name="_Toc229667221"/>
      <w:r>
        <w:rPr/>
        <w:t>13 ATIVIDADES ACADÊMICAS DE EXTENSÃO CURRICULAR</w:t>
      </w:r>
      <w:bookmarkEnd w:id="48"/>
      <w:r>
        <w:rPr/>
        <w:t xml:space="preserve">  </w:t>
      </w:r>
    </w:p>
    <w:p>
      <w:pPr>
        <w:pStyle w:val="Normal"/>
        <w:pBdr/>
        <w:spacing w:lineRule="auto" w:line="360"/>
        <w:ind w:left="915" w:firstLine="567"/>
        <w:jc w:val="both"/>
        <w:rPr>
          <w:color w:val="FF0000"/>
          <w:sz w:val="24"/>
          <w:szCs w:val="24"/>
        </w:rPr>
      </w:pPr>
      <w:r>
        <w:rPr>
          <w:color w:val="FF0000"/>
          <w:sz w:val="24"/>
          <w:szCs w:val="24"/>
        </w:rPr>
        <w:t xml:space="preserve">Lei Nº 13.005/2014, que aprova o Plano Nacional de Educação — PNE 2014-2024, em sua Meta 12 e Estratégia 12.7. Assegurar, </w:t>
      </w:r>
      <w:r>
        <w:rPr>
          <w:bCs/>
          <w:color w:val="FF0000"/>
          <w:sz w:val="24"/>
          <w:szCs w:val="24"/>
        </w:rPr>
        <w:t>no mínimo, 10% (dez por cento) do total de créditos curriculares exigidos para a graduação em programas e projetos de extensão universitária,</w:t>
      </w:r>
      <w:r>
        <w:rPr>
          <w:color w:val="FF0000"/>
          <w:sz w:val="24"/>
          <w:szCs w:val="24"/>
        </w:rPr>
        <w:t xml:space="preserve"> orientando sua ação, prioritariamente, para áreas de grande pertinência social. A Resolução 04/2024 assegura ainda que para cursos de licenciatura com 3200 horas totais, a carga horária de atividades de extensão curricular deve ser de 320 horas, compreendidas no Núcleo III. </w:t>
      </w:r>
    </w:p>
    <w:p>
      <w:pPr>
        <w:pStyle w:val="Normal"/>
        <w:pBdr/>
        <w:spacing w:lineRule="auto" w:line="360"/>
        <w:ind w:left="915" w:firstLine="567"/>
        <w:jc w:val="both"/>
        <w:rPr>
          <w:color w:val="FF0000"/>
          <w:sz w:val="24"/>
          <w:szCs w:val="24"/>
        </w:rPr>
      </w:pPr>
      <w:r>
        <w:rPr>
          <w:color w:val="FF0000"/>
          <w:sz w:val="24"/>
          <w:szCs w:val="24"/>
        </w:rPr>
        <w:t xml:space="preserve">Este item precisa seguir a RESOLUÇÃO CNE Nº 7, DE 18 DE DEZEMBRO DE 2018, bem como os documentos da UFJ, a Resolução Consuni 021/2021 e 005/2022, além do que está previsto no RGG. </w:t>
      </w:r>
    </w:p>
    <w:p>
      <w:pPr>
        <w:pStyle w:val="Normal"/>
        <w:pBdr/>
        <w:spacing w:lineRule="auto" w:line="360"/>
        <w:ind w:left="915" w:firstLine="567"/>
        <w:jc w:val="both"/>
        <w:rPr>
          <w:color w:val="FF0000"/>
          <w:sz w:val="24"/>
          <w:szCs w:val="24"/>
          <w:lang w:val="pt-BR"/>
        </w:rPr>
      </w:pPr>
      <w:r>
        <w:rPr>
          <w:color w:val="FF0000"/>
          <w:sz w:val="24"/>
          <w:szCs w:val="24"/>
          <w:lang w:val="pt-BR"/>
        </w:rPr>
        <w:t>Conforme Resolução CNE nº7/2018, Cap. 1- Art. 3º A Extensão na Educação Superior Brasileira é a atividade que se integra à matriz curricular e à organização da pesquisa, constituindo-se em processo interdisciplinar, político educacional, cultural, científico, tecnológico, que promove a interação transformadora entre as instituições de ensino superior e os outros setores da sociedade, por meio da produção e da aplicação do conhecimento, em articulação permanente com o ensino e a pesquisa.</w:t>
      </w:r>
    </w:p>
    <w:p>
      <w:pPr>
        <w:pStyle w:val="Normal"/>
        <w:pBdr/>
        <w:spacing w:lineRule="auto" w:line="360"/>
        <w:ind w:left="915" w:firstLine="567"/>
        <w:jc w:val="both"/>
        <w:rPr>
          <w:color w:val="FF0000"/>
          <w:sz w:val="24"/>
          <w:szCs w:val="24"/>
          <w:lang w:val="pt-BR"/>
        </w:rPr>
      </w:pPr>
      <w:r>
        <w:rPr>
          <w:color w:val="FF0000"/>
          <w:sz w:val="24"/>
          <w:szCs w:val="24"/>
          <w:lang w:val="pt-BR"/>
        </w:rPr>
        <w:t>Art. 4º As atividades de extensão devem compor, no mínimo, 10% (dez por cento) do total da carga horária curricular estudantil dos cursos de graduação, as quais deverão fazer parte da matriz curricular dos cursos;</w:t>
      </w:r>
    </w:p>
    <w:p>
      <w:pPr>
        <w:pStyle w:val="Normal"/>
        <w:pBdr/>
        <w:spacing w:lineRule="auto" w:line="360"/>
        <w:ind w:left="915" w:firstLine="567"/>
        <w:jc w:val="both"/>
        <w:rPr>
          <w:color w:val="FF0000"/>
          <w:sz w:val="24"/>
          <w:szCs w:val="24"/>
          <w:lang w:val="pt-BR"/>
        </w:rPr>
      </w:pPr>
      <w:r>
        <w:rPr>
          <w:color w:val="FF0000"/>
          <w:sz w:val="24"/>
          <w:szCs w:val="24"/>
          <w:lang w:val="pt-BR"/>
        </w:rPr>
        <w:t>Art. 7º São consideradas atividades de extensão as intervenções que envolvam diretamente as comunidades externas às instituições de ensino superior e que estejam vinculadas à formação do estudante, nos termos desta Resolução, e conforme normas institucionais próprias.</w:t>
      </w:r>
    </w:p>
    <w:p>
      <w:pPr>
        <w:pStyle w:val="Normal"/>
        <w:pBdr/>
        <w:spacing w:lineRule="auto" w:line="360"/>
        <w:ind w:left="915" w:firstLine="567"/>
        <w:jc w:val="both"/>
        <w:rPr>
          <w:color w:val="FF0000"/>
          <w:sz w:val="24"/>
          <w:szCs w:val="24"/>
        </w:rPr>
      </w:pPr>
      <w:r>
        <w:rPr>
          <w:color w:val="FF0000"/>
          <w:sz w:val="24"/>
          <w:szCs w:val="24"/>
        </w:rPr>
        <w:t>Art. 14 Os Projetos Políticos Pedagógicos (PPPs) dos cursos de graduação devem ressaltar o valor das atividades de extensão, caracterizando-as adequadamente quanto à participação dos estudantes, permitindo-lhes, dessa forma, a obtenção de créditos curriculares ou carga horária equivalente após a devida avaliação.</w:t>
      </w:r>
    </w:p>
    <w:p>
      <w:pPr>
        <w:pStyle w:val="Normal"/>
        <w:pBdr/>
        <w:spacing w:lineRule="auto" w:line="360"/>
        <w:ind w:left="915" w:firstLine="567"/>
        <w:jc w:val="both"/>
        <w:rPr>
          <w:b/>
          <w:b/>
          <w:bCs/>
          <w:color w:val="FF0000"/>
          <w:sz w:val="24"/>
          <w:szCs w:val="24"/>
        </w:rPr>
      </w:pPr>
      <w:r>
        <w:rPr>
          <w:color w:val="FF0000"/>
          <w:sz w:val="24"/>
          <w:szCs w:val="24"/>
        </w:rPr>
        <w:t>Sugere-se novamente que palavras chave como ética, equidade, diversidade, inclusão, responsabilidade social, meio ambiente, educação digital, dentre outras, sejam exploradas como objetivo de propostas associadas a extensão no currículo dos estudantes.</w:t>
      </w:r>
    </w:p>
    <w:p>
      <w:pPr>
        <w:pStyle w:val="Normal"/>
        <w:pBdr/>
        <w:spacing w:lineRule="auto" w:line="360"/>
        <w:ind w:left="915" w:firstLine="567"/>
        <w:jc w:val="both"/>
        <w:rPr>
          <w:color w:val="FF0000"/>
          <w:sz w:val="24"/>
          <w:szCs w:val="24"/>
        </w:rPr>
      </w:pPr>
      <w:r>
        <w:rPr>
          <w:color w:val="FF0000"/>
          <w:sz w:val="24"/>
          <w:szCs w:val="24"/>
        </w:rPr>
        <w:t>Para este tipo de atividade, o PPC deve deixar claro a existência de um regulamento próprio que define normas gerais para os estudantes de modo que a extensão esteja articulada com o perfil do curso, os objetivos e, sobretudo, com o impacto social esperado.</w:t>
      </w:r>
    </w:p>
    <w:p>
      <w:pPr>
        <w:pStyle w:val="Normal"/>
        <w:pBdr/>
        <w:spacing w:lineRule="auto" w:line="360"/>
        <w:ind w:left="915" w:firstLine="567"/>
        <w:jc w:val="both"/>
        <w:rPr>
          <w:color w:val="FF0000"/>
          <w:sz w:val="24"/>
          <w:szCs w:val="24"/>
        </w:rPr>
      </w:pPr>
      <w:r>
        <w:rPr>
          <w:color w:val="FF0000"/>
          <w:sz w:val="24"/>
          <w:szCs w:val="24"/>
        </w:rPr>
      </w:r>
    </w:p>
    <w:p>
      <w:pPr>
        <w:pStyle w:val="Ttulo11"/>
        <w:rPr/>
      </w:pPr>
      <w:bookmarkStart w:id="49" w:name="_Toc229667222"/>
      <w:r>
        <w:rPr/>
        <w:t>14 APOIO DISCENTE</w:t>
      </w:r>
      <w:bookmarkEnd w:id="49"/>
    </w:p>
    <w:p>
      <w:pPr>
        <w:pStyle w:val="Normal"/>
        <w:pBdr/>
        <w:spacing w:lineRule="auto" w:line="360"/>
        <w:ind w:left="915" w:firstLine="567"/>
        <w:jc w:val="both"/>
        <w:rPr>
          <w:color w:val="FF0000"/>
          <w:sz w:val="24"/>
          <w:szCs w:val="24"/>
          <w:lang w:val="pt-BR"/>
        </w:rPr>
      </w:pPr>
      <w:r>
        <w:rPr>
          <w:color w:val="FF0000"/>
          <w:sz w:val="24"/>
          <w:szCs w:val="24"/>
          <w:lang w:val="pt-BR"/>
        </w:rPr>
        <w:t xml:space="preserve">Para nota máxima neste indicador, o IACG determina que: “O apoio ao discente </w:t>
      </w:r>
      <w:r>
        <w:rPr>
          <w:bCs/>
          <w:color w:val="FF0000"/>
          <w:sz w:val="24"/>
          <w:szCs w:val="24"/>
          <w:lang w:val="pt-BR"/>
        </w:rPr>
        <w:t>contempla</w:t>
      </w:r>
      <w:r>
        <w:rPr>
          <w:b/>
          <w:color w:val="FF0000"/>
          <w:sz w:val="24"/>
          <w:szCs w:val="24"/>
          <w:lang w:val="pt-BR"/>
        </w:rPr>
        <w:t xml:space="preserve"> </w:t>
      </w:r>
      <w:r>
        <w:rPr>
          <w:color w:val="FF0000"/>
          <w:sz w:val="24"/>
          <w:szCs w:val="24"/>
          <w:lang w:val="pt-BR"/>
        </w:rPr>
        <w:t xml:space="preserve">ações de acolhimento e permanência, acessibilidade metodológica e instrumental, monitoria, nivelamento, intermediação e acompanhamento de estágios não obrigatórios remunerados, apoio psicopedagógico, participação em centros acadêmicos </w:t>
      </w:r>
      <w:r>
        <w:rPr>
          <w:bCs/>
          <w:color w:val="FF0000"/>
          <w:sz w:val="24"/>
          <w:szCs w:val="24"/>
          <w:lang w:val="pt-BR"/>
        </w:rPr>
        <w:t>ou</w:t>
      </w:r>
      <w:r>
        <w:rPr>
          <w:b/>
          <w:color w:val="FF0000"/>
          <w:sz w:val="24"/>
          <w:szCs w:val="24"/>
          <w:lang w:val="pt-BR"/>
        </w:rPr>
        <w:t xml:space="preserve"> </w:t>
      </w:r>
      <w:r>
        <w:rPr>
          <w:color w:val="FF0000"/>
          <w:sz w:val="24"/>
          <w:szCs w:val="24"/>
          <w:lang w:val="pt-BR"/>
        </w:rPr>
        <w:t xml:space="preserve">intercâmbios nacionais e internacionais </w:t>
      </w:r>
      <w:r>
        <w:rPr>
          <w:b/>
          <w:color w:val="FF0000"/>
          <w:sz w:val="24"/>
          <w:szCs w:val="24"/>
          <w:lang w:val="pt-BR"/>
        </w:rPr>
        <w:t xml:space="preserve">e </w:t>
      </w:r>
      <w:r>
        <w:rPr>
          <w:bCs/>
          <w:color w:val="FF0000"/>
          <w:sz w:val="24"/>
          <w:szCs w:val="24"/>
          <w:lang w:val="pt-BR"/>
        </w:rPr>
        <w:t>promove</w:t>
      </w:r>
      <w:r>
        <w:rPr>
          <w:b/>
          <w:color w:val="FF0000"/>
          <w:sz w:val="24"/>
          <w:szCs w:val="24"/>
          <w:lang w:val="pt-BR"/>
        </w:rPr>
        <w:t xml:space="preserve"> </w:t>
      </w:r>
      <w:r>
        <w:rPr>
          <w:color w:val="FF0000"/>
          <w:sz w:val="24"/>
          <w:szCs w:val="24"/>
          <w:lang w:val="pt-BR"/>
        </w:rPr>
        <w:t>outras ações comprovadamente exitosas ou inovadoras.”</w:t>
      </w:r>
    </w:p>
    <w:p>
      <w:pPr>
        <w:pStyle w:val="Normal"/>
        <w:pBdr/>
        <w:spacing w:lineRule="auto" w:line="360"/>
        <w:ind w:left="915" w:firstLine="567"/>
        <w:jc w:val="both"/>
        <w:rPr>
          <w:color w:val="FF0000"/>
          <w:sz w:val="24"/>
          <w:szCs w:val="24"/>
        </w:rPr>
      </w:pPr>
      <w:r>
        <w:rPr>
          <w:color w:val="FF0000"/>
          <w:sz w:val="24"/>
          <w:szCs w:val="24"/>
          <w:lang w:val="pt-BR"/>
        </w:rPr>
        <w:t xml:space="preserve">Recomenda-se, também, relacionar a assistência e permanência estudantil com as ações promovidas pela Pró-Reitoria de Assuntos Estudantis (PRAE) e Pró-reitoria de Graduação (PROGRAD), mais especificamente pela Diretoria de Ensino-acompanhamento discente e nivelamento. Atualmente a UFJ contempla atividades de nivelamento por meio do </w:t>
      </w:r>
      <w:r>
        <w:rPr>
          <w:color w:val="FF0000"/>
          <w:sz w:val="24"/>
          <w:szCs w:val="24"/>
        </w:rPr>
        <w:t xml:space="preserve">Programa de Nivelamento – Programa Princípio, conforme diretrizes estabelecidas na Resolução CEPEPE N 003/2025. </w:t>
      </w:r>
    </w:p>
    <w:p>
      <w:pPr>
        <w:pStyle w:val="Normal"/>
        <w:pBdr/>
        <w:spacing w:lineRule="auto" w:line="360"/>
        <w:ind w:left="915" w:firstLine="567"/>
        <w:jc w:val="both"/>
        <w:rPr>
          <w:sz w:val="24"/>
          <w:szCs w:val="24"/>
          <w:highlight w:val="yellow"/>
          <w:lang w:val="pt-BR"/>
        </w:rPr>
      </w:pPr>
      <w:r>
        <w:rPr>
          <w:sz w:val="24"/>
          <w:szCs w:val="24"/>
          <w:highlight w:val="yellow"/>
          <w:lang w:val="pt-BR"/>
        </w:rPr>
        <w:t>A política de assistência ao estudante, definida na Pró-Reitoria de Assuntos Estudantis, desempenha um papel fundamental na garantia de acesso às oportunidades de desenvolvimento acadêmico, constituindo-se em instrumento de democratização da UFJ. C</w:t>
      </w:r>
      <w:r>
        <w:rPr>
          <w:bCs/>
          <w:sz w:val="24"/>
          <w:szCs w:val="24"/>
          <w:highlight w:val="yellow"/>
          <w:lang w:val="pt-BR"/>
        </w:rPr>
        <w:t>ontempla</w:t>
      </w:r>
      <w:r>
        <w:rPr>
          <w:b/>
          <w:sz w:val="24"/>
          <w:szCs w:val="24"/>
          <w:highlight w:val="yellow"/>
          <w:lang w:val="pt-BR"/>
        </w:rPr>
        <w:t xml:space="preserve"> </w:t>
      </w:r>
      <w:r>
        <w:rPr>
          <w:sz w:val="24"/>
          <w:szCs w:val="24"/>
          <w:highlight w:val="yellow"/>
          <w:lang w:val="pt-BR"/>
        </w:rPr>
        <w:t xml:space="preserve">ações diversas de acolhimento e permanência, acessibilidade em vários níveis, nivelamento, monitoria, apoio psicopedagógico, intercâmbios e outras atividades de apoio pedagógico, social e acadêmico. </w:t>
      </w:r>
    </w:p>
    <w:p>
      <w:pPr>
        <w:pStyle w:val="Normal"/>
        <w:pBdr/>
        <w:spacing w:lineRule="auto" w:line="360"/>
        <w:ind w:left="915" w:firstLine="567"/>
        <w:jc w:val="both"/>
        <w:rPr>
          <w:sz w:val="24"/>
          <w:szCs w:val="24"/>
          <w:lang w:val="pt-BR"/>
        </w:rPr>
      </w:pPr>
      <w:r>
        <w:rPr>
          <w:sz w:val="24"/>
          <w:szCs w:val="24"/>
          <w:highlight w:val="yellow"/>
          <w:lang w:val="pt-BR"/>
        </w:rPr>
        <w:t>O estudante pode ser contemplado com os recursos para manutenção de bolsas provenientes do PNAES (Programa Nacional de Assistência ao Estudante – Decreto 7.234 de 19/07/2010), pode buscar assistência direta junto a diversas instâncias como a Pró-Reitoria de Assuntos Estudantis, a Pró-Reitoria de Graduação, a Secretaria de Diversidade e Inclusão, a depender do tipo de auxílio necessário.</w:t>
      </w:r>
    </w:p>
    <w:p>
      <w:pPr>
        <w:pStyle w:val="Ttulo21"/>
        <w:rPr/>
      </w:pPr>
      <w:bookmarkStart w:id="50" w:name="_Toc229667223"/>
      <w:r>
        <w:rPr/>
        <w:t>14.1 PNAES</w:t>
      </w:r>
      <w:bookmarkEnd w:id="50"/>
      <w:r>
        <w:rPr/>
        <w:t xml:space="preserve">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PNAES (Programa Nacional de Assistência ao Estudante – Decreto 7.234 de 19/07/2010):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A. Bolsa Alimentação: o estudante de graduação, matriculado, poderá solicitar auxílio financeiro para custear a alimentação, que poderá ser por meio de recebimento em espécie ou isenção de pagamento no Restaurante Universitário.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B. Bolsa permanência: Tem por objetivo atender de forma eletiva à parcela dos estudantes que, em razão de suas condições socioeconômicas, possuem dificuldades de custear e garantir sua permanência no curso. A bolsa permanência contribui para a manutenção do estudante na universidade e para a sua formação acadêmica. </w:t>
      </w:r>
    </w:p>
    <w:p>
      <w:pPr>
        <w:pStyle w:val="Normal"/>
        <w:pBdr/>
        <w:spacing w:lineRule="auto" w:line="360"/>
        <w:ind w:left="915" w:firstLine="567"/>
        <w:jc w:val="both"/>
        <w:rPr>
          <w:sz w:val="24"/>
          <w:szCs w:val="24"/>
          <w:highlight w:val="yellow"/>
          <w:lang w:val="pt-BR"/>
        </w:rPr>
      </w:pPr>
      <w:r>
        <w:rPr>
          <w:sz w:val="24"/>
          <w:szCs w:val="24"/>
          <w:highlight w:val="yellow"/>
          <w:lang w:val="pt-BR"/>
        </w:rPr>
        <w:t>C. Moradia Estudantil: A moradia estudantil tem por objetivo garantir a permanência do estudante, que se enquadra nos requisitos de vulnerabilidade social. São requisitos básicos para a requisição da vaga: estar regularmente matriculado nos cursos de graduação da UFJ; ser procedente de cidades do interior de Goiás, ou de outros estados, ou do exterior.</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D. O Serviço de Psicologia (SEP): atende discentes de graduação e pós-graduação da UFJ, e tem como objetivo primordial tentar prevenir o adoecimento mental e promover, dentro do possível, a saúde mental no ambiente universitário. É ofertado ainda, a psicoterapia breve para tratar demandas pontuais e mais graves que já causaram o sofrimento psíquico do aluno. </w:t>
      </w:r>
    </w:p>
    <w:p>
      <w:pPr>
        <w:pStyle w:val="Normal"/>
        <w:pBdr/>
        <w:spacing w:lineRule="auto" w:line="360"/>
        <w:ind w:left="915" w:firstLine="567"/>
        <w:jc w:val="both"/>
        <w:rPr>
          <w:sz w:val="24"/>
          <w:szCs w:val="24"/>
          <w:highlight w:val="yellow"/>
          <w:lang w:val="pt-BR"/>
        </w:rPr>
      </w:pPr>
      <w:r>
        <w:rPr>
          <w:sz w:val="24"/>
          <w:szCs w:val="24"/>
          <w:highlight w:val="yellow"/>
          <w:lang w:val="pt-BR"/>
        </w:rPr>
        <w:t>E. Programa de incentivo à Participação de Estudantes de graduação em Eventos Científicos e Culturais: Este programa tem por objetivo conceder passagens terrestres a estudantes de graduação para participarem de atividades científicas, culturas e políticas em âmbito nacional.</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F. Transporte Institucional: Traslado Intercamapi UFJ: Com objetivo de facilitar o acesso entre os Campi Jatobá e Riachuelo, a UFJ dispõe de forma regular e gratuita o serviço de transporte Intercampi. São realizadas diversas viagens nos períodos matutino, vespertino e noturno, em horários predefinidos para atender a comunidade estudantil. </w:t>
      </w:r>
    </w:p>
    <w:p>
      <w:pPr>
        <w:pStyle w:val="Normal"/>
        <w:pBdr/>
        <w:spacing w:lineRule="auto" w:line="360"/>
        <w:ind w:left="915" w:firstLine="567"/>
        <w:jc w:val="both"/>
        <w:rPr>
          <w:sz w:val="24"/>
          <w:szCs w:val="24"/>
          <w:lang w:val="pt-BR"/>
        </w:rPr>
      </w:pPr>
      <w:r>
        <w:rPr>
          <w:sz w:val="24"/>
          <w:szCs w:val="24"/>
          <w:highlight w:val="yellow"/>
          <w:lang w:val="pt-BR"/>
        </w:rPr>
        <w:t xml:space="preserve">A UFJ dispõe ainda da </w:t>
      </w:r>
      <w:r>
        <w:rPr>
          <w:sz w:val="24"/>
          <w:szCs w:val="24"/>
          <w:highlight w:val="yellow"/>
        </w:rPr>
        <w:t xml:space="preserve">Política de Assistência Estudantil PAE-UFJ cujas características estão definidas pela Resolução CEPEPE 16/2025. Utilizar os dispositivos presentes na resolução para aprimorar o texto. </w:t>
      </w:r>
      <w:r>
        <w:rPr>
          <w:sz w:val="24"/>
          <w:szCs w:val="24"/>
          <w:highlight w:val="yellow"/>
          <w:lang w:val="pt-BR"/>
        </w:rPr>
        <w:t>Observação: tendo em vista reestruturações que eventualmente acontecem, estas ações podem sofrer alterações então devem ser levantadas pelo curso junto à PRAE no momento da redação do PPC.</w:t>
      </w:r>
    </w:p>
    <w:p>
      <w:pPr>
        <w:pStyle w:val="Ttulo21"/>
        <w:rPr/>
      </w:pPr>
      <w:bookmarkStart w:id="51" w:name="_Toc229667224"/>
      <w:r>
        <w:rPr/>
        <w:t>14.2 Apoio pedagógico discente</w:t>
      </w:r>
      <w:bookmarkEnd w:id="51"/>
      <w:r>
        <w:rPr/>
        <w:t xml:space="preserve">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O apoio pedagógico aos discentes objetiva identificar problemas de aprendizagem e buscar alternativas para solucionar as possíveis dificuldades. Esses problemas são levantados a partir de um diagnóstico realizado pela coordenação e docentes. Podem ser identificadas ainda outras dificuldades como de relacionamento em sala de aula, ou até mesmo problemas particulares, seja com familiares ou ambiente profissional que podem refletir direta ou indiretamente no seu desempenho acadêmico. O apoio didático-pedagógico pode ser realizado de diferentes formas como: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A. Visita às salas de aula, com o objetivo de averiguar como as turmas estão se desenvolvendo, além de levar informações sobre a Instituição, eventos e outros.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B. Calendário de reuniões sistemáticas com os representantes de turma.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C. Divulgação dos horários de atendimento da Coordenação do Curso, dos docentes do colegiado, secretaria, monitorias, biblioteca e laboratórios para toda a comunidade acadêmica.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D. No ato da matrícula, os alunos recebem um manual acadêmico que contempla todas as informações sobre a vida acadêmica necessárias e calendário anual. </w:t>
      </w:r>
    </w:p>
    <w:p>
      <w:pPr>
        <w:pStyle w:val="Normal"/>
        <w:pBdr/>
        <w:spacing w:lineRule="auto" w:line="360"/>
        <w:ind w:left="915" w:firstLine="567"/>
        <w:jc w:val="both"/>
        <w:rPr>
          <w:sz w:val="24"/>
          <w:szCs w:val="24"/>
          <w:highlight w:val="yellow"/>
          <w:lang w:val="pt-BR"/>
        </w:rPr>
      </w:pPr>
      <w:r>
        <w:rPr>
          <w:sz w:val="24"/>
          <w:szCs w:val="24"/>
          <w:highlight w:val="yellow"/>
          <w:lang w:val="pt-BR"/>
        </w:rPr>
        <w:t xml:space="preserve">E. Atenção especial aos calouros para proporcionar-lhes integração e adequação ao meio. </w:t>
      </w:r>
    </w:p>
    <w:p>
      <w:pPr>
        <w:pStyle w:val="Normal"/>
        <w:pBdr/>
        <w:spacing w:lineRule="auto" w:line="360"/>
        <w:ind w:left="915" w:firstLine="567"/>
        <w:jc w:val="both"/>
        <w:rPr>
          <w:sz w:val="24"/>
          <w:szCs w:val="24"/>
          <w:lang w:val="pt-BR"/>
        </w:rPr>
      </w:pPr>
      <w:r>
        <w:rPr>
          <w:sz w:val="24"/>
          <w:szCs w:val="24"/>
          <w:highlight w:val="yellow"/>
          <w:lang w:val="pt-BR"/>
        </w:rPr>
        <w:t>F. Encaminhamento a Diretoria de ensino, vinculada à Pró-reitoria de Graduação, caso necessário.</w:t>
      </w:r>
    </w:p>
    <w:p>
      <w:pPr>
        <w:pStyle w:val="Ttulo21"/>
        <w:rPr/>
      </w:pPr>
      <w:bookmarkStart w:id="52" w:name="_Toc229667225"/>
      <w:r>
        <w:rPr/>
        <w:t>14.3 Acompanhamento psicopedagógico</w:t>
      </w:r>
      <w:bookmarkEnd w:id="52"/>
      <w:r>
        <w:rPr/>
        <w:t xml:space="preserve"> </w:t>
      </w:r>
    </w:p>
    <w:p>
      <w:pPr>
        <w:pStyle w:val="Normal"/>
        <w:spacing w:lineRule="auto" w:line="360"/>
        <w:ind w:left="915" w:firstLine="567"/>
        <w:jc w:val="both"/>
        <w:rPr>
          <w:sz w:val="24"/>
          <w:szCs w:val="24"/>
          <w:highlight w:val="yellow"/>
        </w:rPr>
      </w:pPr>
      <w:r>
        <w:rPr>
          <w:iCs/>
          <w:sz w:val="24"/>
          <w:szCs w:val="24"/>
          <w:highlight w:val="yellow"/>
        </w:rPr>
        <w:t xml:space="preserve">O acompanhamento psicopedagógico é realizado com auxílio da Secretaria de Diversidade e Inclusão, </w:t>
      </w:r>
      <w:r>
        <w:rPr>
          <w:sz w:val="24"/>
          <w:szCs w:val="24"/>
          <w:highlight w:val="yellow"/>
        </w:rPr>
        <w:t xml:space="preserve">órgão de assessoramento superior responsável por articular, propor e acompanhar políticas institucionais voltadas à promoção da diversidade, da inclusão e da equidade no âmbito da universidade. </w:t>
      </w:r>
      <w:r>
        <w:rPr>
          <w:iCs/>
          <w:sz w:val="24"/>
          <w:szCs w:val="24"/>
          <w:highlight w:val="yellow"/>
        </w:rPr>
        <w:t>Conta com uma equipe multidisciplinar que atua em diversas frentes como o Atendimento Educacional Especializado, Tradução e Interpretação de LIBRAS e Braile, Acessibilidade, Equidade e Atendimento Especializado a Povos, Comunidades e Grupos Marginalizados.</w:t>
      </w:r>
      <w:r>
        <w:rPr>
          <w:sz w:val="24"/>
          <w:szCs w:val="24"/>
          <w:highlight w:val="yellow"/>
        </w:rPr>
        <w:t xml:space="preserve"> O reconhecimento da diversidade na UFJ permite atendimento diverso e especializado que visa:</w:t>
      </w:r>
    </w:p>
    <w:p>
      <w:pPr>
        <w:pStyle w:val="Normal"/>
        <w:pBdr/>
        <w:tabs>
          <w:tab w:val="clear" w:pos="708"/>
          <w:tab w:val="left" w:pos="1276" w:leader="none"/>
        </w:tabs>
        <w:spacing w:lineRule="auto" w:line="360"/>
        <w:ind w:left="567" w:right="164" w:hanging="360"/>
        <w:jc w:val="both"/>
        <w:rPr>
          <w:iCs/>
          <w:sz w:val="24"/>
          <w:szCs w:val="24"/>
          <w:highlight w:val="yellow"/>
        </w:rPr>
      </w:pPr>
      <w:r>
        <w:rPr>
          <w:iCs/>
          <w:sz w:val="24"/>
          <w:szCs w:val="24"/>
          <w:highlight w:val="yellow"/>
        </w:rPr>
        <w:t>A. Proporcionar ajuda na identificação de possíveis problemas que estejam interferindo no rendimento acadêmico dos alunos.</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Identificar possíveis patologias que estejam afetando os discentes e indicar procedimentos adequados de intervenção educacional.</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Promover acessibilidade e equidade no processo de ensino-aprendizagem.</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Ajudar os discentes a vencerem dificuldades de relacionamento, falar em público, timidez e adaptação.</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Instruir os docentes quanto a métodos inclusivos de ensino.</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Possibilitar o desenvolvimento de autoconhecimento e comportamento de autoajuda na solução de problemas relacionados aos problemas estudantis.</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Fortalecer o censo de responsabilidade.</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Melhorar a relação aluno-professor.</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Proporcionar um aumento do rendimento acadêmico.</w:t>
      </w:r>
    </w:p>
    <w:p>
      <w:pPr>
        <w:pStyle w:val="ListParagraph"/>
        <w:numPr>
          <w:ilvl w:val="0"/>
          <w:numId w:val="3"/>
        </w:numPr>
        <w:pBdr/>
        <w:tabs>
          <w:tab w:val="clear" w:pos="708"/>
          <w:tab w:val="left" w:pos="1276" w:leader="none"/>
        </w:tabs>
        <w:spacing w:lineRule="auto" w:line="360"/>
        <w:ind w:left="927" w:right="163" w:hanging="360"/>
        <w:jc w:val="both"/>
        <w:rPr>
          <w:iCs/>
          <w:sz w:val="24"/>
          <w:szCs w:val="24"/>
          <w:highlight w:val="yellow"/>
        </w:rPr>
      </w:pPr>
      <w:r>
        <w:rPr>
          <w:iCs/>
          <w:sz w:val="24"/>
          <w:szCs w:val="24"/>
          <w:highlight w:val="yellow"/>
        </w:rPr>
        <w:t>Favorecer um maior interesse pelas aulas.</w:t>
      </w:r>
    </w:p>
    <w:p>
      <w:pPr>
        <w:pStyle w:val="Ttulo21"/>
        <w:rPr>
          <w:iCs/>
          <w:color w:val="EE0000"/>
          <w:lang w:val="pt-BR"/>
        </w:rPr>
      </w:pPr>
      <w:bookmarkStart w:id="53" w:name="_Toc229667226"/>
      <w:r>
        <w:rPr/>
        <w:t>14.4 Apoia a participação de eventos</w:t>
      </w:r>
      <w:bookmarkEnd w:id="53"/>
    </w:p>
    <w:p>
      <w:pPr>
        <w:pStyle w:val="Normal"/>
        <w:pBdr/>
        <w:spacing w:lineRule="auto" w:line="360"/>
        <w:ind w:left="915" w:firstLine="567"/>
        <w:jc w:val="both"/>
        <w:rPr>
          <w:iCs/>
          <w:color w:val="FF0000"/>
          <w:sz w:val="24"/>
          <w:szCs w:val="24"/>
          <w:lang w:val="pt-BR"/>
        </w:rPr>
      </w:pPr>
      <w:r>
        <w:rPr>
          <w:bCs/>
          <w:iCs/>
          <w:color w:val="FF0000"/>
          <w:sz w:val="24"/>
          <w:szCs w:val="24"/>
          <w:lang w:val="pt-BR"/>
        </w:rPr>
        <w:t>Aqui é a descrição no âmbito do curso, exemplo:</w:t>
      </w:r>
      <w:r>
        <w:rPr>
          <w:b/>
          <w:iCs/>
          <w:color w:val="FF0000"/>
          <w:sz w:val="24"/>
          <w:szCs w:val="24"/>
          <w:lang w:val="pt-BR"/>
        </w:rPr>
        <w:t xml:space="preserve"> </w:t>
      </w:r>
      <w:r>
        <w:rPr>
          <w:iCs/>
          <w:color w:val="FF0000"/>
          <w:sz w:val="24"/>
          <w:szCs w:val="24"/>
          <w:lang w:val="pt-BR"/>
        </w:rPr>
        <w:t>Por meio das políticas de Pesquisa e Extensão a Unidade Acadêmica ou Unidade Acadêmica Especial estimula os estudantes a participarem de congressos, seminários, simpósios, entre outros, seja na organização, seja como apresentadores de trabalhos, ou como ouvintes.</w:t>
      </w:r>
    </w:p>
    <w:p>
      <w:pPr>
        <w:pStyle w:val="Ttulo21"/>
        <w:rPr>
          <w:iCs/>
          <w:color w:val="EE0000"/>
          <w:lang w:val="pt-BR"/>
        </w:rPr>
      </w:pPr>
      <w:bookmarkStart w:id="54" w:name="_Toc229667227"/>
      <w:r>
        <w:rPr/>
        <w:t>14.5 Mecanismos de nivelamento</w:t>
      </w:r>
      <w:bookmarkEnd w:id="54"/>
    </w:p>
    <w:p>
      <w:pPr>
        <w:pStyle w:val="Normal"/>
        <w:pBdr/>
        <w:spacing w:lineRule="auto" w:line="360"/>
        <w:ind w:left="915" w:firstLine="567"/>
        <w:jc w:val="both"/>
        <w:rPr>
          <w:color w:val="FF0000"/>
          <w:sz w:val="24"/>
          <w:szCs w:val="24"/>
          <w:lang w:val="pt-BR"/>
        </w:rPr>
      </w:pPr>
      <w:r>
        <w:rPr>
          <w:bCs/>
          <w:iCs/>
          <w:color w:val="FF0000"/>
          <w:sz w:val="24"/>
          <w:szCs w:val="24"/>
          <w:lang w:val="pt-BR"/>
        </w:rPr>
        <w:t xml:space="preserve">Neste item o PPC deve conter os mecanismos que o curso possui para o nivelamento. </w:t>
      </w:r>
      <w:r>
        <w:rPr>
          <w:color w:val="FF0000"/>
          <w:sz w:val="24"/>
          <w:szCs w:val="24"/>
          <w:lang w:val="pt-BR"/>
        </w:rPr>
        <w:t xml:space="preserve">As ações de nivelamento consistem em estratégias pedagógicas voltadas a redução de lacunas formativas, podendo incluir atividades como cursos, oficinas, acompanhamento, reforço e outras. </w:t>
      </w:r>
    </w:p>
    <w:p>
      <w:pPr>
        <w:pStyle w:val="Normal"/>
        <w:pBdr/>
        <w:spacing w:lineRule="auto" w:line="360"/>
        <w:ind w:left="915" w:firstLine="567"/>
        <w:jc w:val="both"/>
        <w:rPr>
          <w:bCs/>
          <w:iCs/>
          <w:sz w:val="24"/>
          <w:szCs w:val="24"/>
          <w:highlight w:val="yellow"/>
          <w:lang w:val="pt-BR"/>
        </w:rPr>
      </w:pPr>
      <w:r>
        <w:rPr>
          <w:bCs/>
          <w:iCs/>
          <w:sz w:val="24"/>
          <w:szCs w:val="24"/>
          <w:highlight w:val="yellow"/>
          <w:lang w:val="pt-BR"/>
        </w:rPr>
        <w:t xml:space="preserve">A nível institucional, a UFJ conta com um Programa de Nivelamento </w:t>
      </w:r>
      <w:r>
        <w:rPr>
          <w:bCs/>
          <w:iCs/>
          <w:sz w:val="24"/>
          <w:szCs w:val="24"/>
          <w:highlight w:val="yellow"/>
        </w:rPr>
        <w:t>– Programa Princípio, e o Programa de Monitoria, ambos coordenados pela PROGRAD. Estabelecido pela Resolução CEPEPE nº 003/2025, o Programa Princípio</w:t>
      </w:r>
      <w:r>
        <w:rPr>
          <w:bCs/>
          <w:iCs/>
          <w:sz w:val="24"/>
          <w:szCs w:val="24"/>
          <w:highlight w:val="yellow"/>
          <w:lang w:val="pt-BR"/>
        </w:rPr>
        <w:t xml:space="preserve"> é uma atividade extracurricular de nivelamento de deficiências de conhecimentos básicos vinculada à política de atendimento aos discentes da UFJ. Tem como objetivos principais diminuir os índices de evasão e possibilitar a melhora no desempenho acadêmico por meio da acessibilidade metodológica e instrumental com foco na promoção da permanência e no sucesso acadêmico. </w:t>
      </w:r>
    </w:p>
    <w:p>
      <w:pPr>
        <w:pStyle w:val="Normal"/>
        <w:pBdr/>
        <w:spacing w:lineRule="auto" w:line="360"/>
        <w:ind w:left="915" w:firstLine="567"/>
        <w:jc w:val="both"/>
        <w:rPr>
          <w:bCs/>
          <w:iCs/>
          <w:sz w:val="24"/>
          <w:szCs w:val="24"/>
          <w:highlight w:val="yellow"/>
          <w:lang w:val="pt-BR"/>
        </w:rPr>
      </w:pPr>
      <w:r>
        <w:rPr>
          <w:bCs/>
          <w:iCs/>
          <w:sz w:val="24"/>
          <w:szCs w:val="24"/>
          <w:highlight w:val="yellow"/>
          <w:lang w:val="pt-BR"/>
        </w:rPr>
        <w:t>O Programa é operacionalizado no formato de Projetos de Ensino, selecionados por editais, cujos planos de atividades resguardam áreas básicas de conhecimentos contemplados pelo Programa. As atividades são desenvolvidas de modo presencial, com foco na resolução de problemas, realização de estudos, correções ou supervisão de atividades, além da elaboração de material didático de apoio e do uso de conteúdos em um Ambiente Virtual de Aprendizagem.</w:t>
      </w:r>
    </w:p>
    <w:p>
      <w:pPr>
        <w:pStyle w:val="Normal"/>
        <w:pBdr/>
        <w:spacing w:lineRule="auto" w:line="360"/>
        <w:ind w:left="915" w:firstLine="567"/>
        <w:jc w:val="both"/>
        <w:rPr>
          <w:sz w:val="24"/>
          <w:szCs w:val="24"/>
          <w:highlight w:val="yellow"/>
        </w:rPr>
      </w:pPr>
      <w:r>
        <w:rPr>
          <w:sz w:val="24"/>
          <w:szCs w:val="24"/>
          <w:highlight w:val="yellow"/>
        </w:rPr>
        <w:t xml:space="preserve">No âmbito da monitoria, o Programa de Monitoria é regulamentado pela Resolução CEPEPE nº 002/2025. Configura-se como um processo educativo desenvolvido de modo colaborativo entre docentes e discentes que, na UFJ, é formalizado por meio de processos seletivos semestrais a partir da publicação de edital específico. Existem as modalidades de monitoria remunerada e voluntária, definidas a partir de critérios acadêmicos que consideram, dentre outros, a taxa de retenção e o número de estudantes matriculados na disciplina. </w:t>
      </w:r>
    </w:p>
    <w:p>
      <w:pPr>
        <w:pStyle w:val="Normal"/>
        <w:pBdr/>
        <w:spacing w:lineRule="auto" w:line="360"/>
        <w:ind w:left="915" w:firstLine="567"/>
        <w:jc w:val="both"/>
        <w:rPr>
          <w:sz w:val="24"/>
          <w:szCs w:val="24"/>
          <w:highlight w:val="yellow"/>
          <w:lang w:val="pt-BR"/>
        </w:rPr>
      </w:pPr>
      <w:r>
        <w:rPr>
          <w:sz w:val="24"/>
          <w:szCs w:val="24"/>
          <w:highlight w:val="yellow"/>
        </w:rPr>
        <w:t xml:space="preserve">Possui como objetivos, </w:t>
      </w:r>
      <w:r>
        <w:rPr>
          <w:sz w:val="24"/>
          <w:szCs w:val="24"/>
          <w:highlight w:val="yellow"/>
          <w:lang w:val="pt-BR"/>
        </w:rPr>
        <w:t>ampliar a participação dos discentes de graduação nas atividades de ensino e de aprendizagem, contribuir para a melhoria do ensino, auxiliar no desenvolvimento de capacidades de análise e crítica, no aprofundamento de conhecimentos teóricos e práticos, além de contribuir para a permanência dos discentes. O programa conta com estrutura organizacional prevista em resolução com atribuição clara de direitos e deveres. Conta ainda com ações afirmativas de modo a garantir equidade no acesso e ampla participação.</w:t>
      </w:r>
    </w:p>
    <w:p>
      <w:pPr>
        <w:pStyle w:val="Ttulo21"/>
        <w:rPr>
          <w:iCs/>
          <w:color w:val="EE0000"/>
          <w:lang w:val="pt-BR"/>
        </w:rPr>
      </w:pPr>
      <w:bookmarkStart w:id="55" w:name="_Toc229667228"/>
      <w:r>
        <w:rPr/>
        <w:t>14.6 Acompanhamento de egressos</w:t>
      </w:r>
      <w:bookmarkEnd w:id="55"/>
    </w:p>
    <w:p>
      <w:pPr>
        <w:pStyle w:val="Normal"/>
        <w:pBdr/>
        <w:spacing w:lineRule="auto" w:line="360"/>
        <w:ind w:left="915" w:firstLine="567"/>
        <w:jc w:val="both"/>
        <w:rPr>
          <w:bCs/>
          <w:iCs/>
          <w:sz w:val="24"/>
          <w:szCs w:val="24"/>
          <w:highlight w:val="yellow"/>
          <w:lang w:val="pt-BR"/>
        </w:rPr>
      </w:pPr>
      <w:r>
        <w:rPr>
          <w:bCs/>
          <w:iCs/>
          <w:sz w:val="24"/>
          <w:szCs w:val="24"/>
          <w:highlight w:val="yellow"/>
          <w:lang w:val="pt-BR"/>
        </w:rPr>
        <w:t xml:space="preserve">O acompanhamento de egressos é estratégico e está voltado para o monitoramento da trajetória profissional e acadêmico dos diplomados pelos diversos cursos oferecidos pela UFJ, bem como uma forma de avaliação da qualidade formativa. No âmbito institucional, a Resolução 023/2025 dispõe sobre a política de acompanhamento de egressos da UFJ, cujo objetivo é orientar ações voltadas ao conhecimento, avaliação, monitoramento e acompanhamento do processo educacional da instituição, tendo como foco a interação com os egressos e a sua realidade acadêmica e profissional. </w:t>
      </w:r>
    </w:p>
    <w:p>
      <w:pPr>
        <w:pStyle w:val="Normal"/>
        <w:pBdr/>
        <w:spacing w:lineRule="auto" w:line="360"/>
        <w:ind w:left="915" w:firstLine="567"/>
        <w:jc w:val="both"/>
        <w:rPr>
          <w:bCs/>
          <w:iCs/>
          <w:sz w:val="24"/>
          <w:szCs w:val="24"/>
          <w:lang w:val="pt-BR"/>
        </w:rPr>
      </w:pPr>
      <w:r>
        <w:rPr>
          <w:bCs/>
          <w:iCs/>
          <w:sz w:val="24"/>
          <w:szCs w:val="24"/>
          <w:highlight w:val="yellow"/>
          <w:lang w:val="pt-BR"/>
        </w:rPr>
        <w:t>A política está implementada em três pilares, sendo: a empregabilidade dos egressos; a continuidade de estudos após a conclusão do; e a adequação da formação profissional recebida, entando fundamentada na compreensão de que o processo de formação é contínuo e, portanto, a instituição deve oferecer ao egresso um espaço que possibilite a verticalização de seus conhecimentos. Visa, dentre outros,  avaliar a percepção dos egressos sobre o curso realizado na instituição, manter os registros atualizados, promovendo a integração e a comunicação com os egressos, mapear a inserção dos egressos no trabalho de trabalho, fortalecer a avaliação do desempenho institucional e acompanhar a efetividade do desempenho nas políticas educacionais, utilizando os dados coletados, bem como as percepções dos egressos, para revisar e atualizar as políticas institucionais.</w:t>
      </w:r>
      <w:r>
        <w:rPr>
          <w:bCs/>
          <w:iCs/>
          <w:sz w:val="24"/>
          <w:szCs w:val="24"/>
          <w:lang w:val="pt-BR"/>
        </w:rPr>
        <w:t xml:space="preserve"> </w:t>
      </w:r>
    </w:p>
    <w:p>
      <w:pPr>
        <w:pStyle w:val="Normal"/>
        <w:pBdr/>
        <w:spacing w:lineRule="auto" w:line="360"/>
        <w:ind w:left="915" w:firstLine="567"/>
        <w:jc w:val="both"/>
        <w:rPr>
          <w:iCs/>
          <w:color w:val="EE0000"/>
          <w:sz w:val="24"/>
          <w:szCs w:val="24"/>
          <w:lang w:val="pt-BR"/>
        </w:rPr>
      </w:pPr>
      <w:r>
        <w:rPr>
          <w:bCs/>
          <w:iCs/>
          <w:color w:val="FF0000"/>
          <w:sz w:val="24"/>
          <w:szCs w:val="24"/>
          <w:lang w:val="pt-BR"/>
        </w:rPr>
        <w:t>O texto deve explicar as diretrizes do acompanhamento de egressos, bem como explicitar como as informações coletadas são utilizadas pela melhoria do curso. Explicitar a forma de contato com os egressos e como o canal de comunicação estreita as relações entre o curso e os formados. Explicar sobre os mecanismos sistemáticos de coleta e análise de dados e como são utilizados para acompanhamento de indicadores de qualidade, inserção no mercado de trabalho e atualização de demandas.</w:t>
      </w:r>
      <w:r>
        <w:rPr>
          <w:iCs/>
          <w:color w:val="EE0000"/>
          <w:sz w:val="24"/>
          <w:szCs w:val="24"/>
          <w:lang w:val="pt-BR"/>
        </w:rPr>
        <w:t xml:space="preserve"> </w:t>
      </w:r>
      <w:r>
        <w:rPr>
          <w:color w:val="FF0000"/>
          <w:sz w:val="24"/>
          <w:szCs w:val="24"/>
          <w:lang w:val="pt-BR"/>
        </w:rPr>
        <w:t>Deve-se prever a articulação com instancias institucionais.</w:t>
      </w:r>
    </w:p>
    <w:p>
      <w:pPr>
        <w:pStyle w:val="Normal"/>
        <w:pBdr/>
        <w:spacing w:lineRule="auto" w:line="360"/>
        <w:ind w:left="915" w:firstLine="567"/>
        <w:jc w:val="both"/>
        <w:rPr>
          <w:iCs/>
          <w:color w:val="EE0000"/>
          <w:sz w:val="24"/>
          <w:szCs w:val="24"/>
          <w:lang w:val="pt-BR"/>
        </w:rPr>
      </w:pPr>
      <w:r>
        <w:rPr>
          <w:iCs/>
          <w:color w:val="EE0000"/>
          <w:sz w:val="24"/>
          <w:szCs w:val="24"/>
          <w:lang w:val="pt-BR"/>
        </w:rPr>
        <w:t>Explicitar as estratégias de manutenção de vínculo do curso com os egressos e evidenciar atividades que comprovem. Alinhar as estratégias de acompanhamento com as políticas institucionais, explicar a periodicidade das ações, os responsáveis e formas de divulgação.</w:t>
      </w:r>
    </w:p>
    <w:p>
      <w:pPr>
        <w:pStyle w:val="Ttulo21"/>
        <w:rPr>
          <w:iCs/>
          <w:color w:val="EE0000"/>
          <w:lang w:val="pt-BR"/>
        </w:rPr>
      </w:pPr>
      <w:bookmarkStart w:id="56" w:name="_Toc229667229"/>
      <w:r>
        <w:rPr/>
        <w:t>14.7 Representação estudantil</w:t>
      </w:r>
      <w:bookmarkEnd w:id="56"/>
    </w:p>
    <w:p>
      <w:pPr>
        <w:pStyle w:val="Normal"/>
        <w:pBdr/>
        <w:spacing w:lineRule="auto" w:line="360"/>
        <w:ind w:left="915" w:firstLine="567"/>
        <w:jc w:val="both"/>
        <w:rPr>
          <w:bCs/>
          <w:iCs/>
          <w:color w:val="FF0000"/>
          <w:sz w:val="24"/>
          <w:szCs w:val="24"/>
          <w:lang w:val="pt-BR"/>
        </w:rPr>
      </w:pPr>
      <w:r>
        <w:rPr>
          <w:bCs/>
          <w:iCs/>
          <w:color w:val="FF0000"/>
          <w:sz w:val="24"/>
          <w:szCs w:val="24"/>
          <w:lang w:val="pt-BR"/>
        </w:rPr>
        <w:t>O item deve descrever os mecanismos possíveis para a participação discente nos processos de gestão acadêmica, evidenciando a importância do protagonismo estudantil na construção, acompanhamento e avaliação do PPC. Explicitar que os discentes atuam na representação no colegiado, a existência de centros acadêmicos, núcleos de discussão de dados e demais espaços deliberativos da universidade. Explicar como se dá esse acesso, o período e forma de atuação e comunicação e enfatizar que tais processos favorecem o diálogo e fortalece a gestão democrática.</w:t>
      </w:r>
    </w:p>
    <w:p>
      <w:pPr>
        <w:pStyle w:val="Ttulo21"/>
        <w:rPr>
          <w:iCs/>
          <w:color w:val="EE0000"/>
          <w:lang w:val="pt-BR"/>
        </w:rPr>
      </w:pPr>
      <w:bookmarkStart w:id="57" w:name="_Toc229667230"/>
      <w:r>
        <w:rPr/>
        <w:t>14.8 Divulgação da produção discente</w:t>
      </w:r>
      <w:bookmarkEnd w:id="57"/>
    </w:p>
    <w:p>
      <w:pPr>
        <w:pStyle w:val="Normal"/>
        <w:pBdr/>
        <w:spacing w:lineRule="auto" w:line="360"/>
        <w:ind w:left="915" w:firstLine="567"/>
        <w:jc w:val="both"/>
        <w:rPr>
          <w:bCs/>
          <w:iCs/>
          <w:color w:val="FF0000"/>
          <w:sz w:val="24"/>
          <w:szCs w:val="24"/>
          <w:lang w:val="pt-BR"/>
        </w:rPr>
      </w:pPr>
      <w:r>
        <w:rPr>
          <w:bCs/>
          <w:iCs/>
          <w:color w:val="FF0000"/>
          <w:sz w:val="24"/>
          <w:szCs w:val="24"/>
          <w:lang w:val="pt-BR"/>
        </w:rPr>
        <w:t>Trata da apresentação das estratégias adotadas pelo curso para socializar e valorizar os trabalhos acadêmicos desenvolvidos pelos discentes ao longo da formação. Explicitar os diversos espaços oferecidos e iniciativas promovidas pelo curso e a instituição. Destacar o incentivo institucional para participação de eventos científicos, produção de material científico e técnico e como a produção discente contribui para o desenvolvimento profissional, da autonomia intelectual e da comunicação científica, promovendo e ampliando o alcance do curso junto a comunidade interna e externa.</w:t>
      </w:r>
    </w:p>
    <w:p>
      <w:pPr>
        <w:pStyle w:val="Ttulo11"/>
        <w:jc w:val="both"/>
        <w:rPr>
          <w:color w:val="FF0000"/>
          <w:lang w:val="pt-BR"/>
        </w:rPr>
      </w:pPr>
      <w:bookmarkStart w:id="58" w:name="_Toc229667231"/>
      <w:r>
        <w:rPr/>
        <w:t>15 GESTÃO DO CURSO E OS PROCESSOS DE AVALIAÇÃO INTERNA E EXTERNA</w:t>
      </w:r>
      <w:bookmarkEnd w:id="58"/>
    </w:p>
    <w:p>
      <w:pPr>
        <w:pStyle w:val="Normal"/>
        <w:pBdr/>
        <w:spacing w:lineRule="auto" w:line="360"/>
        <w:ind w:left="915" w:firstLine="567"/>
        <w:jc w:val="both"/>
        <w:rPr>
          <w:iCs/>
          <w:color w:val="FF0000"/>
          <w:sz w:val="24"/>
          <w:szCs w:val="24"/>
          <w:lang w:val="pt-BR"/>
        </w:rPr>
      </w:pPr>
      <w:r>
        <w:rPr>
          <w:iCs/>
          <w:color w:val="FF0000"/>
          <w:sz w:val="24"/>
          <w:szCs w:val="24"/>
          <w:lang w:val="pt-BR"/>
        </w:rPr>
        <w:t>A gestão do curso (Colegiado da UA - coordenação e NDE é realizada considerando a autoavaliação institucional e o resultado das avaliações externas como insumo para aprimoramento contínuo do planejamento do curso, com evidência da apropriação dos resultados pela comunidade acadêmica e existência de processo de autoavaliação periódica do curso (BRASIL, 2017, p. 15).</w:t>
      </w:r>
    </w:p>
    <w:p>
      <w:pPr>
        <w:pStyle w:val="Ttulo21"/>
        <w:rPr/>
      </w:pPr>
      <w:bookmarkStart w:id="59" w:name="_Toc229667232"/>
      <w:r>
        <w:rPr/>
        <w:t>15.1 Coordenação do Curso</w:t>
      </w:r>
      <w:bookmarkEnd w:id="59"/>
    </w:p>
    <w:p>
      <w:pPr>
        <w:pStyle w:val="Normal"/>
        <w:pBdr/>
        <w:spacing w:lineRule="auto" w:line="360"/>
        <w:ind w:left="915" w:firstLine="567"/>
        <w:jc w:val="both"/>
        <w:rPr>
          <w:iCs/>
          <w:color w:val="FF0000"/>
          <w:sz w:val="24"/>
          <w:szCs w:val="24"/>
          <w:lang w:val="pt-BR"/>
        </w:rPr>
      </w:pPr>
      <w:r>
        <w:rPr>
          <w:iCs/>
          <w:color w:val="FF0000"/>
          <w:sz w:val="24"/>
          <w:szCs w:val="24"/>
          <w:lang w:val="pt-BR"/>
        </w:rPr>
        <w:t>Apresentar a gestão do curso por meio da atuação do coordenador. Para tanto, descrever a relação do coordenador com a comunidade acadêmica, sobretudo, com os docentes e discentes. Apontar a existência do plano de ação do coordenador documentado, aprovado em colegiado e compartilhado e, ainda, se dispõe de indicadores de desempenho da referida coordenação, bem como expor o modo pelo qual é administrada a potencialidade do corpo docente do curso, considerando a sua integração e seu aprimoramento (BRASIL, 2017, p.22).</w:t>
      </w:r>
    </w:p>
    <w:p>
      <w:pPr>
        <w:pStyle w:val="Normal"/>
        <w:pBdr/>
        <w:spacing w:lineRule="auto" w:line="360"/>
        <w:ind w:left="915" w:firstLine="567"/>
        <w:jc w:val="both"/>
        <w:rPr>
          <w:iCs/>
          <w:color w:val="FF0000"/>
          <w:sz w:val="24"/>
          <w:szCs w:val="24"/>
          <w:lang w:val="pt-BR"/>
        </w:rPr>
      </w:pPr>
      <w:r>
        <w:rPr>
          <w:iCs/>
          <w:color w:val="FF0000"/>
          <w:sz w:val="24"/>
          <w:szCs w:val="24"/>
          <w:lang w:val="pt-BR"/>
        </w:rPr>
        <w:t>No PPC, neste item 15.1 (sobre a Coordenação do Curso) não nominar o coordenador; é necessário destacar que existe um plano de ação próprio aprovado pelo colegiado que está disponível para acesso na página do curso. Explicitar a quantidade mínima de horas exigida.</w:t>
      </w:r>
    </w:p>
    <w:p>
      <w:pPr>
        <w:pStyle w:val="Ttulo21"/>
        <w:rPr>
          <w:color w:val="000000"/>
        </w:rPr>
      </w:pPr>
      <w:bookmarkStart w:id="60" w:name="_Toc229667233"/>
      <w:r>
        <w:rPr>
          <w:color w:val="000000"/>
        </w:rPr>
        <w:t xml:space="preserve">15.2 </w:t>
      </w:r>
      <w:r>
        <w:rPr/>
        <w:t>Regime de trabalho da coordenação do curso e atuação</w:t>
      </w:r>
      <w:bookmarkEnd w:id="60"/>
    </w:p>
    <w:p>
      <w:pPr>
        <w:pStyle w:val="Normal"/>
        <w:pBdr/>
        <w:spacing w:lineRule="auto" w:line="360"/>
        <w:ind w:left="915" w:firstLine="567"/>
        <w:jc w:val="both"/>
        <w:rPr>
          <w:color w:val="FF0000"/>
          <w:sz w:val="24"/>
          <w:szCs w:val="24"/>
          <w:lang w:val="pt-BR"/>
        </w:rPr>
      </w:pPr>
      <w:r>
        <w:rPr>
          <w:color w:val="FF0000"/>
          <w:sz w:val="24"/>
          <w:szCs w:val="24"/>
          <w:lang w:val="pt-BR"/>
        </w:rPr>
        <w:t>Explicitar o regime de trabalho do(a) coordenador(a)–sugere-se que é de tempo integral e que permita o atendimento da demanda existente, considerando a gestão do curso, a relação com os docentes, discentes, tutores e equipe multidisciplinar (quando for o caso) e a representatividade nos colegiados superiores, por meio de um plano de ação documentado e compartilhado, com indicadores disponíveis e públicos com relação ao desempenho da coordenação, e proporciona a administração da potencialidade do corpo docente do seu curso, favorecendo a integração e a melhoria contínua” (BRASIL, 2017, p.23).</w:t>
      </w:r>
    </w:p>
    <w:p>
      <w:pPr>
        <w:pStyle w:val="Ttulo21"/>
        <w:rPr>
          <w:color w:val="FF0000"/>
          <w:lang w:val="pt-BR"/>
        </w:rPr>
      </w:pPr>
      <w:bookmarkStart w:id="61" w:name="_Toc229667234"/>
      <w:r>
        <w:rPr>
          <w:color w:val="000000"/>
        </w:rPr>
        <w:t xml:space="preserve">15.3 </w:t>
      </w:r>
      <w:r>
        <w:rPr/>
        <w:t>Colegiados que participam da gestão do curso</w:t>
      </w:r>
      <w:bookmarkEnd w:id="61"/>
    </w:p>
    <w:p>
      <w:pPr>
        <w:pStyle w:val="Normal"/>
        <w:pBdr/>
        <w:spacing w:lineRule="auto" w:line="360"/>
        <w:ind w:left="915" w:firstLine="567"/>
        <w:jc w:val="both"/>
        <w:rPr>
          <w:iCs/>
          <w:color w:val="FF0000"/>
          <w:sz w:val="24"/>
          <w:szCs w:val="24"/>
          <w:lang w:val="pt-BR"/>
        </w:rPr>
      </w:pPr>
      <w:r>
        <w:rPr>
          <w:iCs/>
          <w:color w:val="FF0000"/>
          <w:sz w:val="24"/>
          <w:szCs w:val="24"/>
          <w:lang w:val="pt-BR"/>
        </w:rPr>
        <w:t>Descrever também o funcionamento dos colegiados que participam da gestão acadêmica do curso e a representatividade nos colegiados superiores. A gestão do curso deve ser realizada considerando a autoavaliação institucional e o resultado das avaliações externas como insumo para aprimoramento contínuo do planejamento do curso, com evidência da apropriação dos resultados pela comunidade acadêmica e existência de processo de autoavaliação periódica do curso.</w:t>
      </w:r>
    </w:p>
    <w:p>
      <w:pPr>
        <w:pStyle w:val="Normal"/>
        <w:pBdr/>
        <w:spacing w:lineRule="auto" w:line="360"/>
        <w:ind w:left="915" w:firstLine="567"/>
        <w:jc w:val="both"/>
        <w:rPr>
          <w:color w:val="FF0000"/>
          <w:sz w:val="24"/>
          <w:szCs w:val="24"/>
          <w:lang w:val="pt-BR"/>
        </w:rPr>
      </w:pPr>
      <w:r>
        <w:rPr>
          <w:color w:val="FF0000"/>
          <w:sz w:val="24"/>
          <w:szCs w:val="24"/>
          <w:lang w:val="pt-BR"/>
        </w:rPr>
      </w:r>
    </w:p>
    <w:p>
      <w:pPr>
        <w:pStyle w:val="Ttulo11"/>
        <w:jc w:val="both"/>
        <w:rPr/>
      </w:pPr>
      <w:bookmarkStart w:id="62" w:name="_Toc229667235"/>
      <w:r>
        <w:rPr/>
        <w:t>16 TECNOLOGIAS DE INFORMAÇÃO E COMUNICAÇÃO NO PROCESSO DE ENSINO- APRENDIZAGEM</w:t>
      </w:r>
      <w:bookmarkEnd w:id="62"/>
    </w:p>
    <w:p>
      <w:pPr>
        <w:pStyle w:val="Normal"/>
        <w:pBdr/>
        <w:spacing w:lineRule="auto" w:line="360"/>
        <w:ind w:left="915" w:firstLine="567"/>
        <w:jc w:val="both"/>
        <w:rPr>
          <w:iCs/>
          <w:color w:val="EE0000"/>
          <w:sz w:val="24"/>
          <w:szCs w:val="24"/>
          <w:lang w:val="pt-BR"/>
        </w:rPr>
      </w:pPr>
      <w:r>
        <w:rPr>
          <w:iCs/>
          <w:color w:val="FF0000"/>
          <w:sz w:val="24"/>
          <w:szCs w:val="24"/>
          <w:lang w:val="pt-BR"/>
        </w:rPr>
        <w:t>As tecnologias de informação e comunicação adotadas no processo de ensino e aprendizagem devem permitir a execução do PPC, garantir a acessibilidade digital e comunicacional, promover a interatividade entre docentes, discentes e tutores (quando for o caso), assegurar o acesso a materiais e recursos didáticos a qualquer lugar e hora e possibilitar experiencias diferenciadas de aprendizagem baseadas em seu uso (</w:t>
      </w:r>
      <w:r>
        <w:rPr>
          <w:iCs/>
          <w:color w:val="EE0000"/>
          <w:sz w:val="24"/>
          <w:szCs w:val="24"/>
          <w:lang w:val="pt-BR"/>
        </w:rPr>
        <w:t>BRASIL, 2017, p.17).</w:t>
      </w:r>
    </w:p>
    <w:p>
      <w:pPr>
        <w:pStyle w:val="Normal"/>
        <w:pBdr/>
        <w:spacing w:lineRule="auto" w:line="360"/>
        <w:ind w:left="915" w:firstLine="567"/>
        <w:jc w:val="both"/>
        <w:rPr>
          <w:iCs/>
          <w:color w:val="EE0000"/>
          <w:sz w:val="24"/>
          <w:szCs w:val="24"/>
          <w:lang w:val="pt-BR"/>
        </w:rPr>
      </w:pPr>
      <w:r>
        <w:rPr>
          <w:iCs/>
          <w:color w:val="EE0000"/>
          <w:sz w:val="24"/>
          <w:szCs w:val="24"/>
          <w:lang w:val="pt-BR"/>
        </w:rPr>
        <w:t>Inserir itens que favoreçam a competências em computação na docência, ênfase no uso pedagógico de TDIC, uso de tecnologias assistivas que temos disponíveis, além do foco em recursos educacionais digitais e inovação pedagógica. Se possível, incluir o registro e monitoramento e utilizar registros de práticas e avaliações específicas.</w:t>
      </w:r>
    </w:p>
    <w:p>
      <w:pPr>
        <w:pStyle w:val="Normal"/>
        <w:pBdr/>
        <w:spacing w:lineRule="auto" w:line="360"/>
        <w:ind w:left="915" w:firstLine="567"/>
        <w:jc w:val="both"/>
        <w:rPr>
          <w:iCs/>
          <w:color w:val="EE0000"/>
          <w:sz w:val="24"/>
          <w:szCs w:val="24"/>
        </w:rPr>
      </w:pPr>
      <w:r>
        <w:rPr>
          <w:iCs/>
          <w:color w:val="EE0000"/>
          <w:sz w:val="24"/>
          <w:szCs w:val="24"/>
        </w:rPr>
        <w:t>Tecnologia de Informação e Comunicação (TIC): Recursos didáticos constituídos por diferentes mídias e tecnologias, síncronas e assíncronas, tais como: ambientes virtuais e suas ferramentas; redes sociais e suas ferramentas. Fóruns eletrônicos; blogs. Chats; tecnologias de telefonia; teleconferências; videoconferências; TV; rádio; programas específicos de computadores (softwares); objetos de aprendizagem; conteúdos disponibilizados em suportes tradicionais ou em suportes eletrônicos (BRASIL, 2017, p.49).</w:t>
      </w:r>
    </w:p>
    <w:p>
      <w:pPr>
        <w:pStyle w:val="Normal"/>
        <w:pBdr/>
        <w:spacing w:lineRule="auto" w:line="360"/>
        <w:ind w:left="915" w:firstLine="567"/>
        <w:jc w:val="both"/>
        <w:rPr>
          <w:iCs/>
          <w:color w:val="EE0000"/>
        </w:rPr>
      </w:pPr>
      <w:r>
        <w:rPr>
          <w:iCs/>
          <w:color w:val="EE0000"/>
        </w:rPr>
      </w:r>
    </w:p>
    <w:p>
      <w:pPr>
        <w:pStyle w:val="Ttulo11"/>
        <w:rPr/>
      </w:pPr>
      <w:bookmarkStart w:id="63" w:name="_Toc229667236"/>
      <w:r>
        <w:rPr/>
        <w:t>17 NÚMERO DE VAGAS</w:t>
      </w:r>
      <w:bookmarkEnd w:id="63"/>
    </w:p>
    <w:p>
      <w:pPr>
        <w:pStyle w:val="Normal"/>
        <w:pBdr/>
        <w:spacing w:lineRule="auto" w:line="360"/>
        <w:ind w:left="915" w:right="170" w:firstLine="567"/>
        <w:jc w:val="both"/>
        <w:rPr>
          <w:iCs/>
          <w:color w:val="EE0000"/>
          <w:sz w:val="24"/>
          <w:szCs w:val="24"/>
        </w:rPr>
      </w:pPr>
      <w:r>
        <w:rPr>
          <w:iCs/>
          <w:color w:val="EE0000"/>
          <w:sz w:val="24"/>
          <w:szCs w:val="24"/>
        </w:rPr>
        <w:t xml:space="preserve">O número de vagas para o curso deve estar fundamentado em estudos periódicos, quantitativos e qualitativos, e em pesquisas com a comunidade acadêmica, que comprovam sua adequação à dimensão do corpo docente (e tutorial, na modalidade a distância) e às condições de infraestrutura física e tecnológica para o ensino e a pesquisa (esta última, quando for o caso) (BRASIL, 2017, p. 19). </w:t>
      </w:r>
    </w:p>
    <w:p>
      <w:pPr>
        <w:pStyle w:val="Ttulo21"/>
        <w:rPr>
          <w:iCs/>
          <w:color w:val="EE0000"/>
        </w:rPr>
      </w:pPr>
      <w:bookmarkStart w:id="64" w:name="_Toc229667237"/>
      <w:r>
        <w:rPr>
          <w:color w:val="030303"/>
        </w:rPr>
        <w:t xml:space="preserve">17.1 </w:t>
      </w:r>
      <w:r>
        <w:rPr/>
        <w:t>Adequação ao Corpo docente e ao Coordenador</w:t>
      </w:r>
      <w:bookmarkEnd w:id="64"/>
      <w:r>
        <w:rPr>
          <w:iCs/>
          <w:color w:val="EE0000"/>
        </w:rPr>
        <w:t xml:space="preserve"> </w:t>
      </w:r>
    </w:p>
    <w:p>
      <w:pPr>
        <w:pStyle w:val="Normal"/>
        <w:pBdr/>
        <w:spacing w:lineRule="auto" w:line="360"/>
        <w:ind w:left="915" w:firstLine="567"/>
        <w:jc w:val="both"/>
        <w:rPr>
          <w:color w:val="EE0000"/>
          <w:sz w:val="24"/>
          <w:szCs w:val="24"/>
          <w:lang w:val="pt-BR"/>
        </w:rPr>
      </w:pPr>
      <w:r>
        <w:rPr>
          <w:iCs/>
          <w:color w:val="EE0000"/>
          <w:sz w:val="24"/>
          <w:szCs w:val="24"/>
        </w:rPr>
        <w:t>Descrever a relação entre o número de docentes em relação ao número de vagas de modo a garantir a qualidade de atendimento na relação aluno/professor</w:t>
      </w:r>
      <w:r>
        <w:rPr>
          <w:color w:val="EE0000"/>
          <w:sz w:val="24"/>
          <w:szCs w:val="24"/>
          <w:lang w:val="pt-BR"/>
        </w:rPr>
        <w:t>, desta forma, numa relação direta é possível apresentar que para cada docente existe um quantitativo de alunos.</w:t>
      </w:r>
    </w:p>
    <w:p>
      <w:pPr>
        <w:pStyle w:val="Normal"/>
        <w:pBdr/>
        <w:spacing w:lineRule="auto" w:line="360"/>
        <w:ind w:left="915" w:firstLine="567"/>
        <w:jc w:val="both"/>
        <w:rPr>
          <w:color w:val="EE0000"/>
          <w:sz w:val="24"/>
          <w:szCs w:val="24"/>
          <w:lang w:val="pt-BR"/>
        </w:rPr>
      </w:pPr>
      <w:r>
        <w:rPr>
          <w:color w:val="EE0000"/>
          <w:sz w:val="24"/>
          <w:szCs w:val="24"/>
          <w:lang w:val="pt-BR"/>
        </w:rPr>
        <w:t xml:space="preserve">Quanto a coordenação do curso, deve ficar explícito que o coordenador dedica 20 horas semanais para as atividades de coordenação do curso, gerando uma relação que deve se aplicar a 1 hora para cada x alunos. </w:t>
      </w:r>
    </w:p>
    <w:p>
      <w:pPr>
        <w:pStyle w:val="Normal"/>
        <w:pBdr/>
        <w:spacing w:lineRule="auto" w:line="360"/>
        <w:ind w:left="915" w:firstLine="567"/>
        <w:jc w:val="both"/>
        <w:rPr>
          <w:color w:val="EE0000"/>
          <w:sz w:val="24"/>
          <w:szCs w:val="24"/>
          <w:lang w:val="pt-BR"/>
        </w:rPr>
      </w:pPr>
      <w:r>
        <w:rPr>
          <w:color w:val="EE0000"/>
          <w:sz w:val="24"/>
          <w:szCs w:val="24"/>
          <w:lang w:val="pt-BR"/>
        </w:rPr>
      </w:r>
    </w:p>
    <w:p>
      <w:pPr>
        <w:pStyle w:val="Ttulo11"/>
        <w:rPr/>
      </w:pPr>
      <w:bookmarkStart w:id="65" w:name="_Toc229667238"/>
      <w:r>
        <w:rPr/>
        <w:t>18 CORPO DOCENTE</w:t>
      </w:r>
      <w:bookmarkEnd w:id="65"/>
    </w:p>
    <w:p>
      <w:pPr>
        <w:pStyle w:val="Ttulo21"/>
        <w:rPr>
          <w:color w:val="030303"/>
        </w:rPr>
      </w:pPr>
      <w:bookmarkStart w:id="66" w:name="_Toc229667239"/>
      <w:r>
        <w:rPr>
          <w:color w:val="030303"/>
        </w:rPr>
        <w:t xml:space="preserve">18.1 </w:t>
      </w:r>
      <w:r>
        <w:rPr/>
        <w:t>Núcleo Docente Estruturante</w:t>
      </w:r>
      <w:bookmarkEnd w:id="66"/>
    </w:p>
    <w:p>
      <w:pPr>
        <w:pStyle w:val="Normal"/>
        <w:pBdr/>
        <w:spacing w:lineRule="auto" w:line="360"/>
        <w:ind w:left="915" w:firstLine="567"/>
        <w:jc w:val="both"/>
        <w:rPr>
          <w:iCs/>
          <w:color w:val="EE0000"/>
          <w:sz w:val="24"/>
          <w:szCs w:val="24"/>
        </w:rPr>
      </w:pPr>
      <w:r>
        <w:rPr>
          <w:iCs/>
          <w:color w:val="EE0000"/>
          <w:sz w:val="24"/>
          <w:szCs w:val="24"/>
        </w:rPr>
        <w:t>O texto deve ser construído deixando claro que o NDE atende as normativas gerais (</w:t>
      </w:r>
      <w:r>
        <w:rPr>
          <w:iCs/>
          <w:color w:val="EE0000"/>
          <w:sz w:val="24"/>
          <w:szCs w:val="24"/>
          <w:lang w:val="pt-BR"/>
        </w:rPr>
        <w:t>CONAES nº 01 de 17 de junho de 2010) e que se constitui de um grupo de docentes que atua diretamente na concepção, consolidação, acompanhamento, avaliação e atualização do PPC de modo a garantir sua qualidade. Explicar como o curso constitui o NDE de acordo com a recomendação institucional e de que forma, na prática, o NDE trabalha (elaboração e revisão do PPC, reuniões, definição do perfil do egresso, objetivos do curso, coleta e análise de dados, acompanhamento de indicadores acadêmicos)</w:t>
      </w:r>
    </w:p>
    <w:p>
      <w:pPr>
        <w:pStyle w:val="Normal"/>
        <w:pBdr/>
        <w:spacing w:lineRule="auto" w:line="360"/>
        <w:ind w:left="915" w:firstLine="567"/>
        <w:jc w:val="both"/>
        <w:rPr>
          <w:color w:val="EE0000"/>
          <w:sz w:val="24"/>
          <w:szCs w:val="24"/>
        </w:rPr>
      </w:pPr>
      <w:r>
        <w:rPr>
          <w:iCs/>
          <w:color w:val="EE0000"/>
          <w:sz w:val="24"/>
          <w:szCs w:val="24"/>
        </w:rPr>
        <w:t xml:space="preserve">Explicitar o papel do NDE nos processos de autoavaliação do curso, utilizando estudos diversos e os dados provenientes da CPA de modo a garantir o desempenho discentes, acompanhamento de egressos e a melhoria do curso. O NDE tem papel essencial na mediação entre planejamento e execução do PPC. </w:t>
      </w:r>
      <w:r>
        <w:rPr>
          <w:color w:val="EE0000"/>
          <w:sz w:val="24"/>
          <w:szCs w:val="24"/>
          <w:lang w:val="pt-BR"/>
        </w:rPr>
        <w:t>É importante explicitar que o NDE possui representatividade enquanto membro do colegiado do curso e da UA.</w:t>
      </w:r>
    </w:p>
    <w:p>
      <w:pPr>
        <w:pStyle w:val="Normal"/>
        <w:pBdr/>
        <w:spacing w:lineRule="auto" w:line="360"/>
        <w:ind w:left="915" w:firstLine="567"/>
        <w:jc w:val="both"/>
        <w:rPr>
          <w:color w:val="EE0000"/>
          <w:sz w:val="24"/>
          <w:szCs w:val="24"/>
          <w:lang w:val="pt-BR"/>
        </w:rPr>
      </w:pPr>
      <w:r>
        <w:rPr>
          <w:iCs/>
          <w:color w:val="EE0000"/>
          <w:sz w:val="24"/>
          <w:szCs w:val="24"/>
        </w:rPr>
        <w:t xml:space="preserve">Segundo </w:t>
      </w:r>
      <w:r>
        <w:rPr>
          <w:color w:val="EE0000"/>
          <w:sz w:val="24"/>
          <w:szCs w:val="24"/>
          <w:lang w:val="pt-BR"/>
        </w:rPr>
        <w:t>BRASIL (2017, p. 21), deve citar a quantidade de membros do NDE (mínimo cinco membros) destacar como é a atuação do NDE: que seus membros devem atuar em regime conforme a seguir: mínimo de 20% em tempo integral; pelo menos 60% de seus membros possuir titulação stricto sensu; ter o coordenador de curso como integrante; atuar no acompanhamento, na consolidação e na atualização do PPC, realizar estudos e atualização periódica, verificando o impacto do sistema de avaliação de aprendizagem na formação do estudante e analisando a adequação do perfil do egresso, considerando as DCN e as novas demandas do mundo do trabalho; e manter parte de seus membros desde o último ato regulatório</w:t>
      </w:r>
    </w:p>
    <w:p>
      <w:pPr>
        <w:pStyle w:val="Ttulo21"/>
        <w:rPr/>
      </w:pPr>
      <w:bookmarkStart w:id="67" w:name="_Toc229667240"/>
      <w:r>
        <w:rPr>
          <w:color w:val="030303"/>
        </w:rPr>
        <w:t xml:space="preserve">18.2 </w:t>
      </w:r>
      <w:r>
        <w:rPr/>
        <w:t>Coordenação do curso</w:t>
      </w:r>
      <w:bookmarkEnd w:id="67"/>
    </w:p>
    <w:p>
      <w:pPr>
        <w:pStyle w:val="Normal"/>
        <w:pBdr/>
        <w:spacing w:lineRule="auto" w:line="360"/>
        <w:ind w:left="915" w:firstLine="567"/>
        <w:jc w:val="both"/>
        <w:rPr>
          <w:iCs/>
          <w:color w:val="EE0000"/>
          <w:sz w:val="24"/>
          <w:szCs w:val="24"/>
          <w:lang w:val="pt-BR"/>
        </w:rPr>
      </w:pPr>
      <w:r>
        <w:rPr>
          <w:color w:val="EE0000"/>
          <w:sz w:val="24"/>
          <w:szCs w:val="24"/>
        </w:rPr>
        <w:t xml:space="preserve">Este tópico deve explicitar o perfil do coordenador, destacando a titulação, trajetória acadêmica compatível com o cargo, experiências e conhecimentos na gestão organizacional didático-pedagógica necessárias para coordenar um curso de graduação. A coordenação possui também um papel fundamental na gestão acadêmica e administrativa, sendo corresponsável com o NDE pela </w:t>
      </w:r>
      <w:r>
        <w:rPr>
          <w:iCs/>
          <w:color w:val="EE0000"/>
          <w:sz w:val="24"/>
          <w:szCs w:val="24"/>
          <w:lang w:val="pt-BR"/>
        </w:rPr>
        <w:t>concepção, consolidação, acompanhamento, avaliação e atualização do PPC. Deve deixar claro as atribuições da coordenação na gestão administrativa e pedagógica do curso, explicitando a disponibilidade de, pelo menos, 20 horas semanais, associando o regime de trabalho e a disponibilidade para exercício das atribuições inerentes ao cargo.</w:t>
      </w:r>
    </w:p>
    <w:p>
      <w:pPr>
        <w:pStyle w:val="Normal"/>
        <w:pBdr/>
        <w:spacing w:lineRule="auto" w:line="360"/>
        <w:ind w:left="915" w:firstLine="567"/>
        <w:jc w:val="both"/>
        <w:rPr>
          <w:iCs/>
          <w:color w:val="EE0000"/>
          <w:sz w:val="24"/>
          <w:szCs w:val="24"/>
          <w:lang w:val="pt-BR"/>
        </w:rPr>
      </w:pPr>
      <w:r>
        <w:rPr>
          <w:iCs/>
          <w:color w:val="EE0000"/>
          <w:sz w:val="24"/>
          <w:szCs w:val="24"/>
          <w:lang w:val="pt-BR"/>
        </w:rPr>
        <w:t>Evidenciar as atribuições como: gerenciar a execução do PPC assegurando sua coerência e atualização; articular atividades entre o corpo docente, discente e técnico do curso; presidir o colegiado do curso e atuar como membro do NDE; acompanhar os indicadores acadêmicos, monitorar resultados das avaliações, promover e auxiliar nos processos de autoavaliação, assegurar o desenvolvimento das atividades pedagógicas e administrativas inerentes ao curso; atuar de forma ativa na gestão baseada em evidencias de modo a propor melhorias para o curso.</w:t>
      </w:r>
    </w:p>
    <w:p>
      <w:pPr>
        <w:pStyle w:val="Normal"/>
        <w:pBdr/>
        <w:spacing w:lineRule="auto" w:line="360"/>
        <w:ind w:left="915" w:firstLine="567"/>
        <w:jc w:val="both"/>
        <w:rPr>
          <w:color w:val="030303"/>
          <w:sz w:val="24"/>
          <w:szCs w:val="24"/>
        </w:rPr>
      </w:pPr>
      <w:r>
        <w:rPr>
          <w:iCs/>
          <w:color w:val="EE0000"/>
          <w:sz w:val="24"/>
          <w:szCs w:val="24"/>
          <w:lang w:val="pt-BR"/>
        </w:rPr>
        <w:t>O PPC deve indicar que a coordenação atua junto a comunidade acadêmica prestando atendimento sistemático a docentes e discentes, realizando comunicação eficaz, mediação de demandas e conflitos, apoio ao desenvolvimento docentes e discente, auxiliando em ações voltadas à permanência estudantil.</w:t>
      </w:r>
    </w:p>
    <w:p>
      <w:pPr>
        <w:pStyle w:val="Ttulo21"/>
        <w:rPr/>
      </w:pPr>
      <w:bookmarkStart w:id="68" w:name="_Toc229667241"/>
      <w:r>
        <w:rPr>
          <w:color w:val="030303"/>
        </w:rPr>
        <w:t xml:space="preserve">18.3 </w:t>
      </w:r>
      <w:r>
        <w:rPr/>
        <w:t>Titulação do corpo docente e regime de trabalho</w:t>
      </w:r>
      <w:bookmarkEnd w:id="68"/>
      <w:r>
        <w:rPr/>
        <w:t xml:space="preserve"> </w:t>
      </w:r>
    </w:p>
    <w:p>
      <w:pPr>
        <w:pStyle w:val="Normal"/>
        <w:pBdr/>
        <w:spacing w:lineRule="auto" w:line="360"/>
        <w:ind w:left="915" w:firstLine="567"/>
        <w:jc w:val="both"/>
        <w:rPr>
          <w:color w:val="EE0000"/>
          <w:sz w:val="24"/>
          <w:szCs w:val="24"/>
        </w:rPr>
      </w:pPr>
      <w:r>
        <w:rPr>
          <w:color w:val="EE0000"/>
          <w:sz w:val="24"/>
          <w:szCs w:val="24"/>
        </w:rPr>
        <w:t>Este tópico deve apresentar de modo claro e objetivo a composição do quadro docente do curso, evidenciando sua qualificação acadêmica. Apresente o corpo docente com sua respectiva formação (graduação, especialização, mestrado, doutorado), destacando a aderência na área do curso. Explicite o percentual de docentes com a titulação máxima, evidenciando o compromisso com a qualidade acadêmica e científica do curso.</w:t>
      </w:r>
    </w:p>
    <w:p>
      <w:pPr>
        <w:pStyle w:val="Normal"/>
        <w:pBdr/>
        <w:spacing w:lineRule="auto" w:line="360"/>
        <w:ind w:left="915" w:firstLine="567"/>
        <w:jc w:val="both"/>
        <w:rPr>
          <w:color w:val="EE0000"/>
          <w:sz w:val="24"/>
          <w:szCs w:val="24"/>
        </w:rPr>
      </w:pPr>
      <w:r>
        <w:rPr>
          <w:color w:val="EE0000"/>
          <w:sz w:val="24"/>
          <w:szCs w:val="24"/>
        </w:rPr>
        <w:t>Quanto ao regime de trabalho, explicitar também a distribuição de docentes por regime de trabalho e salientar o compromisso do curso com a permanência de docentes em regime integral de dedicação as atividades de ensino, pesquisa, extensão e administração acadêmica, ressaltando a disponibilidade de atendimento, orientação e execução de projetos de produção científica, acadêmica e de extensão, alem do acompanhamento discente e atuação em outras instâncias que julgar pertinente.</w:t>
      </w:r>
    </w:p>
    <w:p>
      <w:pPr>
        <w:pStyle w:val="Normal"/>
        <w:pBdr/>
        <w:spacing w:lineRule="auto" w:line="360"/>
        <w:ind w:left="915" w:firstLine="567"/>
        <w:jc w:val="both"/>
        <w:rPr>
          <w:color w:val="EE0000"/>
          <w:sz w:val="24"/>
          <w:szCs w:val="24"/>
        </w:rPr>
      </w:pPr>
      <w:r>
        <w:rPr>
          <w:color w:val="EE0000"/>
          <w:sz w:val="24"/>
          <w:szCs w:val="24"/>
        </w:rPr>
        <w:t xml:space="preserve">Mencionar a política de composição do corpo docente de modo a explicitar o compromisso do curso com a formação de qualidade dos estudantes e a continuidade das atividades didático-pedagógicas. Reforçar também a experiência profissional dos docentes em áreas como educação básica, ensino privado e demais áreas do mercado de trabalho que agreguem vantagem na formação dos profissionais.  </w:t>
      </w:r>
    </w:p>
    <w:p>
      <w:pPr>
        <w:pStyle w:val="Normal"/>
        <w:pBdr/>
        <w:spacing w:lineRule="auto" w:line="360"/>
        <w:ind w:left="915" w:firstLine="567"/>
        <w:jc w:val="both"/>
        <w:rPr>
          <w:iCs/>
          <w:color w:val="EE0000"/>
          <w:sz w:val="24"/>
          <w:szCs w:val="24"/>
        </w:rPr>
      </w:pPr>
      <w:r>
        <w:rPr>
          <w:iCs/>
          <w:color w:val="EE0000"/>
          <w:sz w:val="24"/>
          <w:szCs w:val="24"/>
          <w:lang w:val="pt-BR"/>
        </w:rPr>
        <w:t>Para os cursos de Licenciatura devem explicitar se o corpo docente possui experiência na docência da educação básica para promover ações que permitem identificar as dificuldades dos alunos, expor o conteúdo em linguagem aderente às características da turma, apresentar exemplos contextualizados com os conteúdos dos componentes curriculares, elaborar atividades específicas para a promoção da aprendizagem de alunos com dificuldades e avaliações diagnósticas, formativas, somativas, utilizando os resultados para redefinição de sua prática docente no período, exerce liderança e é reconhecido pela sua produção (BRASIL, 2017, p.25)</w:t>
      </w:r>
    </w:p>
    <w:p>
      <w:pPr>
        <w:pStyle w:val="Ttulo21"/>
        <w:rPr/>
      </w:pPr>
      <w:bookmarkStart w:id="69" w:name="_Toc229667242"/>
      <w:r>
        <w:rPr>
          <w:color w:val="030303"/>
        </w:rPr>
        <w:t xml:space="preserve">18.4 </w:t>
      </w:r>
      <w:r>
        <w:rPr/>
        <w:t>Corpo técnico</w:t>
      </w:r>
      <w:bookmarkEnd w:id="69"/>
    </w:p>
    <w:p>
      <w:pPr>
        <w:pStyle w:val="Normal"/>
        <w:pBdr/>
        <w:spacing w:lineRule="auto" w:line="360"/>
        <w:ind w:left="915" w:firstLine="567"/>
        <w:jc w:val="both"/>
        <w:rPr>
          <w:color w:val="EE0000"/>
          <w:sz w:val="24"/>
          <w:szCs w:val="24"/>
        </w:rPr>
      </w:pPr>
      <w:r>
        <w:rPr>
          <w:color w:val="EE0000"/>
          <w:sz w:val="24"/>
          <w:szCs w:val="24"/>
        </w:rPr>
        <w:t>Este tópico deve apresentar de modo claro e objetivo a composição do corpo técnico do curso, evidenciando sua qualificação acadêmica, apresentando sua respectiva formação (graduação, especialização, mestrado, doutorado), destacando a aderência na área do curso. Explicite o envolvimento do corpo técnico com as atividades diversas promovidas pelo curso e evidencie o compromisso com a qualidade acadêmica e científica do curso.</w:t>
      </w:r>
    </w:p>
    <w:p>
      <w:pPr>
        <w:pStyle w:val="Ttulo21"/>
        <w:rPr/>
      </w:pPr>
      <w:bookmarkStart w:id="70" w:name="_Toc229667243"/>
      <w:r>
        <w:rPr>
          <w:color w:val="030303"/>
        </w:rPr>
        <w:t xml:space="preserve">18.5 </w:t>
      </w:r>
      <w:r>
        <w:rPr/>
        <w:t>Política de Qualificação de Docentes e Técnico-Administrativo da Unidade Acadêmica</w:t>
      </w:r>
      <w:bookmarkEnd w:id="70"/>
      <w:r>
        <w:rPr/>
        <w:t xml:space="preserve"> </w:t>
      </w:r>
    </w:p>
    <w:p>
      <w:pPr>
        <w:pStyle w:val="Normal"/>
        <w:pBdr/>
        <w:spacing w:lineRule="auto" w:line="360"/>
        <w:ind w:left="915" w:firstLine="567"/>
        <w:jc w:val="both"/>
        <w:rPr>
          <w:color w:val="000000"/>
          <w:sz w:val="24"/>
          <w:szCs w:val="24"/>
          <w:lang w:val="pt-BR"/>
        </w:rPr>
      </w:pPr>
      <w:r>
        <w:rPr>
          <w:color w:val="EE0000"/>
          <w:sz w:val="24"/>
          <w:szCs w:val="24"/>
        </w:rPr>
        <w:t>A redação deve indicar que a atualização e qualificação do corpo docente são incentivadas institucionalmente, por meio de políticas de formação continuada, participação em eventos científicos e apoio à pós-graduação, assegurando a melhoria contínua da qualidade do curso. Explicitar a política aplicada no Plano de Desenvolvimento de Pessoas (PDP)</w:t>
      </w:r>
      <w:r>
        <w:rPr>
          <w:rStyle w:val="Appleconvertedspace"/>
          <w:rFonts w:eastAsia="" w:eastAsiaTheme="majorEastAsia"/>
          <w:color w:val="EE0000"/>
          <w:sz w:val="24"/>
          <w:szCs w:val="24"/>
        </w:rPr>
        <w:t>, vinculado a</w:t>
      </w:r>
      <w:r>
        <w:rPr>
          <w:color w:val="EE0000"/>
          <w:sz w:val="24"/>
          <w:szCs w:val="24"/>
        </w:rPr>
        <w:t xml:space="preserve"> Coordenação de Desenvolvimento de Pessoas (CDP), da Diretoria de Acompanhamento e Desenvolvimento (DAD/PROPESSOAS) que trata institucionalmente da qualificação continuada dos servidores. Apresentar genericamente a Resolução CONSUNI 02/2025 que </w:t>
      </w:r>
      <w:r>
        <w:rPr>
          <w:color w:val="EE0000"/>
          <w:sz w:val="24"/>
          <w:szCs w:val="24"/>
          <w:lang w:val="pt-BR"/>
        </w:rPr>
        <w:t xml:space="preserve">regulamenta os processos de afastamentos para qualificação e ações de desenvolvimento dos servidores. Evidenciar as atividades que o curso ou a UA dispõe neste sentido. </w:t>
      </w:r>
    </w:p>
    <w:p>
      <w:pPr>
        <w:pStyle w:val="Normal"/>
        <w:pBdr/>
        <w:spacing w:lineRule="auto" w:line="360"/>
        <w:ind w:left="915" w:firstLine="567"/>
        <w:jc w:val="both"/>
        <w:rPr>
          <w:b/>
          <w:b/>
          <w:bCs/>
          <w:color w:val="EE0000"/>
          <w:sz w:val="24"/>
          <w:szCs w:val="24"/>
        </w:rPr>
      </w:pPr>
      <w:r>
        <w:rPr>
          <w:color w:val="000000"/>
          <w:sz w:val="24"/>
          <w:szCs w:val="24"/>
        </w:rPr>
        <w:t xml:space="preserve"> </w:t>
      </w:r>
    </w:p>
    <w:p>
      <w:pPr>
        <w:pStyle w:val="Ttulo11"/>
        <w:rPr>
          <w:iCs/>
          <w:color w:val="EE0000"/>
        </w:rPr>
      </w:pPr>
      <w:bookmarkStart w:id="71" w:name="_Toc229667244"/>
      <w:r>
        <w:rPr/>
        <w:t>19 INFRAESTRUTURA FÍSICA E TECNOLÓGICA</w:t>
      </w:r>
      <w:bookmarkEnd w:id="71"/>
    </w:p>
    <w:p>
      <w:pPr>
        <w:pStyle w:val="Normal"/>
        <w:pBdr/>
        <w:spacing w:lineRule="auto" w:line="360"/>
        <w:ind w:left="915" w:right="158" w:firstLine="567"/>
        <w:jc w:val="both"/>
        <w:rPr>
          <w:iCs/>
          <w:sz w:val="24"/>
          <w:szCs w:val="24"/>
          <w:highlight w:val="yellow"/>
          <w:lang w:val="pt-BR"/>
        </w:rPr>
      </w:pPr>
      <w:r>
        <w:rPr>
          <w:iCs/>
          <w:sz w:val="24"/>
          <w:szCs w:val="24"/>
          <w:highlight w:val="yellow"/>
          <w:lang w:val="pt-BR"/>
        </w:rPr>
        <w:t>A Universidade Federal de Jataí dispõe de infraestrutura física e tecnológica compatível com as demandas de funcionamento dos cursos de graduação, em consonância com as diretrizes estabelecidas em seus instrumentos institucionais de planejamento e avaliação. Sua estrutura está organizada em dois campi localizados no município de Jataí, Campus Riachuelo e Campus Jatobá, os quais concentram as atividades acadêmicas e administrativas, proporcionando condições adequadas para o desenvolvimento integrado do ensino, da pesquisa e da extensão.</w:t>
      </w:r>
    </w:p>
    <w:p>
      <w:pPr>
        <w:pStyle w:val="Normal"/>
        <w:pBdr/>
        <w:spacing w:lineRule="auto" w:line="360"/>
        <w:ind w:left="915" w:right="158" w:firstLine="567"/>
        <w:jc w:val="both"/>
        <w:rPr>
          <w:iCs/>
          <w:sz w:val="24"/>
          <w:szCs w:val="24"/>
          <w:highlight w:val="yellow"/>
          <w:lang w:val="pt-BR"/>
        </w:rPr>
      </w:pPr>
      <w:r>
        <w:rPr>
          <w:iCs/>
          <w:sz w:val="24"/>
          <w:szCs w:val="24"/>
          <w:highlight w:val="yellow"/>
          <w:lang w:val="pt-BR"/>
        </w:rPr>
        <w:t>Os campi da UFJ são compostos por edificações destinadas às atividades acadêmicas, incluindo salas de aula climatizadas e equipadas com recursos multimídia, auditórios, espaços para atividades coletivas, além de setores administrativos que asseguram o suporte à gestão acadêmica. Esses espaços são continuamente avaliados e aprimorados, de modo a atender às necessidades pedagógicas e garantir acessibilidade, segurança e conforto à comunidade universitária.</w:t>
      </w:r>
    </w:p>
    <w:p>
      <w:pPr>
        <w:pStyle w:val="Normal"/>
        <w:pBdr/>
        <w:spacing w:lineRule="auto" w:line="360"/>
        <w:ind w:left="915" w:right="158" w:firstLine="567"/>
        <w:jc w:val="both"/>
        <w:rPr>
          <w:iCs/>
          <w:sz w:val="24"/>
          <w:szCs w:val="24"/>
          <w:highlight w:val="yellow"/>
          <w:lang w:val="pt-BR"/>
        </w:rPr>
      </w:pPr>
      <w:r>
        <w:rPr>
          <w:iCs/>
          <w:sz w:val="24"/>
          <w:szCs w:val="24"/>
          <w:highlight w:val="yellow"/>
          <w:lang w:val="pt-BR"/>
        </w:rPr>
        <w:t>A universidade conta com sistema de bibliotecas que atende de forma integrada às demandas dos cursos de graduação e pós-graduação, disponibilizando acervo físico e digital atualizado e compatível com as áreas do conhecimento contempladas na instituição. São dois espaços, uma biblioteca setorial no Campus Riachuelo e a Biblioteca Central Flor do Cerrado no Campus Jatobá. As bibliotecas oferecem espaços para estudo individual e coletivo, acesso a bases de dados científicas, periódicos especializados e recursos informacionais digitais, além de serviços de apoio à pesquisa e à normalização de trabalhos acadêmicos. A biblioteca central dispõe ainda do Laboratório de Acessibilidade Informacional (LAI), um espaço que tem por objetivo atender as pessoas com deficiência da comunidade da UFJ, oferecendo atendimento especializado no âmbito da acessibilidade informacional – por meio do uso e empréstimo de material bibliográfico acessível e tecnologias assistivas, adaptações de materiais, capacitações e espaço para estudo. O espaço disponibiliza acesso a materiais como scanner fotográfico com voz, gravadores de voz, impressora e máquina em braile, impressora em alto relevo, computadores e mobiliário adaptados e acessíveis. A utilização do laboratório, dos materiais e o serviço de empréstimo são exclusivos para usuários com deficiência e podem ser requisitados a qualquer momento pela comunidade acadêmica. Além dos empréstimos e adaptações, o laboratório busca incentivar a independência dos usuários com deficiência ofertando treinamentos sobre a utilização das tecnologias assistivas disponíveis (equipamentos, softwares), e acerca das adaptações de materiais.</w:t>
      </w:r>
    </w:p>
    <w:p>
      <w:pPr>
        <w:pStyle w:val="Normal"/>
        <w:pBdr/>
        <w:spacing w:lineRule="auto" w:line="360"/>
        <w:ind w:left="915" w:right="158" w:firstLine="567"/>
        <w:jc w:val="both"/>
        <w:rPr>
          <w:iCs/>
          <w:sz w:val="24"/>
          <w:szCs w:val="24"/>
          <w:highlight w:val="yellow"/>
          <w:lang w:val="pt-BR"/>
        </w:rPr>
      </w:pPr>
      <w:r>
        <w:rPr>
          <w:iCs/>
          <w:sz w:val="24"/>
          <w:szCs w:val="24"/>
          <w:highlight w:val="yellow"/>
          <w:lang w:val="pt-BR"/>
        </w:rPr>
        <w:t>No que se refere às atividades práticas e experimentais, a UFJ dispõe de laboratórios de ensino e pesquisa distribuídos entre suas unidades acadêmicas, equipados conforme as especificidades de cada área do conhecimento. Tais ambientes possibilitam o desenvolvimento de práticas didático-pedagógicas, atividades investigativas e projetos de extensão, contribuindo para a formação técnico-científica dos estudantes e para a produção de conhecimento.</w:t>
      </w:r>
    </w:p>
    <w:p>
      <w:pPr>
        <w:pStyle w:val="Normal"/>
        <w:pBdr/>
        <w:spacing w:lineRule="auto" w:line="360"/>
        <w:ind w:left="915" w:right="158" w:firstLine="567"/>
        <w:jc w:val="both"/>
        <w:rPr>
          <w:iCs/>
          <w:sz w:val="24"/>
          <w:szCs w:val="24"/>
          <w:highlight w:val="yellow"/>
          <w:lang w:val="pt-BR"/>
        </w:rPr>
      </w:pPr>
      <w:r>
        <w:rPr>
          <w:iCs/>
          <w:sz w:val="24"/>
          <w:szCs w:val="24"/>
          <w:highlight w:val="yellow"/>
          <w:lang w:val="pt-BR"/>
        </w:rPr>
        <w:t>A infraestrutura tecnológica da universidade contempla rede de internet de alta velocidade, com cobertura nos principais espaços acadêmicos, além de ambientes virtuais de aprendizagem e sistemas informatizados de gestão acadêmica e administrativa. Esses recursos viabilizam o suporte às atividades presenciais e híbridas, favorecendo a utilização de metodologias ativas de ensino e a ampliação do acesso a conteúdos educacionais digitais.</w:t>
      </w:r>
    </w:p>
    <w:p>
      <w:pPr>
        <w:pStyle w:val="Normal"/>
        <w:pBdr/>
        <w:spacing w:lineRule="auto" w:line="360"/>
        <w:ind w:left="915" w:right="158" w:firstLine="567"/>
        <w:jc w:val="both"/>
        <w:rPr>
          <w:iCs/>
          <w:sz w:val="24"/>
          <w:szCs w:val="24"/>
          <w:lang w:val="pt-BR"/>
        </w:rPr>
      </w:pPr>
      <w:r>
        <w:rPr>
          <w:iCs/>
          <w:sz w:val="24"/>
          <w:szCs w:val="24"/>
          <w:highlight w:val="yellow"/>
          <w:lang w:val="pt-BR"/>
        </w:rPr>
        <w:t>Adicionalmente, a UFJ oferece espaços de convivência acadêmica, áreas de alimentação, serviços de apoio estudantil e estruturas voltadas à promoção da permanência e do êxito acadêmico, reforçando seu compromisso com a inclusão e a qualidade da formação superior. A integração entre infraestrutura física e tecnológica constitui, assim, elemento fundamental para o pleno desenvolvimento das atividades acadêmicas, assegurando condições institucionais adequadas para a oferta e consolidação dos cursos de graduação.</w:t>
      </w:r>
    </w:p>
    <w:p>
      <w:pPr>
        <w:pStyle w:val="Normal"/>
        <w:pBdr/>
        <w:spacing w:lineRule="auto" w:line="360"/>
        <w:ind w:left="915" w:right="158" w:firstLine="567"/>
        <w:jc w:val="both"/>
        <w:rPr>
          <w:iCs/>
          <w:color w:val="EE0000"/>
          <w:sz w:val="24"/>
          <w:szCs w:val="24"/>
        </w:rPr>
      </w:pPr>
      <w:r>
        <w:rPr>
          <w:iCs/>
          <w:color w:val="EE0000"/>
          <w:sz w:val="24"/>
          <w:szCs w:val="24"/>
        </w:rPr>
        <w:t xml:space="preserve">Descrever a infraestrutura disponível para a realização das atividades didáticas e de estudo individual/coletivo necessária à operacionalização do curso, tais como, instalações e equipamentos, infraestrutura tecnológica, sala de coordenação de curso, salas de aula, sala coletiva de professores e laboratórios. Deve apresentar a inafraestrutura mínima para o curso, bem como tecnologias utilizadas no processo de aprendizagem (o ambiente virtual de aprendizagem, softwares e simuladores, entre outros). </w:t>
      </w:r>
    </w:p>
    <w:p>
      <w:pPr>
        <w:pStyle w:val="Normal"/>
        <w:pBdr/>
        <w:spacing w:lineRule="auto" w:line="360"/>
        <w:ind w:left="915" w:right="158" w:firstLine="567"/>
        <w:jc w:val="both"/>
        <w:rPr>
          <w:iCs/>
          <w:color w:val="EE0000"/>
          <w:sz w:val="24"/>
          <w:szCs w:val="24"/>
        </w:rPr>
      </w:pPr>
      <w:r>
        <w:rPr>
          <w:iCs/>
          <w:color w:val="EE0000"/>
          <w:sz w:val="24"/>
          <w:szCs w:val="24"/>
        </w:rPr>
        <w:t xml:space="preserve">Gabinetes de professores, salas de estudo, reuniões, coletivas de professores, sala para coordenação, salas de aula, laboratórios didáticos, laboratórios de pesquisa, laboratórios de habilidades específicas, unidades anexas (unidades de ensino, redes conveniadas, outros espaços de formação não convencional), comitê de ética em pesquisa. Citar absolutamente tudo que o curso dispõe para atuação no aspecto de ensino, pesquisa e extensão. </w:t>
      </w:r>
    </w:p>
    <w:p>
      <w:pPr>
        <w:pStyle w:val="Normal"/>
        <w:pBdr/>
        <w:spacing w:lineRule="auto" w:line="360"/>
        <w:ind w:left="915" w:firstLine="567"/>
        <w:jc w:val="both"/>
        <w:rPr>
          <w:iCs/>
          <w:color w:val="EE0000"/>
          <w:sz w:val="24"/>
          <w:szCs w:val="24"/>
        </w:rPr>
      </w:pPr>
      <w:r>
        <w:rPr>
          <w:iCs/>
          <w:color w:val="EE0000"/>
          <w:sz w:val="24"/>
          <w:szCs w:val="24"/>
        </w:rPr>
      </w:r>
    </w:p>
    <w:p>
      <w:pPr>
        <w:pStyle w:val="Ttulo11"/>
        <w:rPr/>
      </w:pPr>
      <w:bookmarkStart w:id="72" w:name="_Toc229667245"/>
      <w:r>
        <w:rPr/>
        <w:t>20 REQUISITOS LEGAIS E NORMATIVOS OBRIGATÓRIOS</w:t>
      </w:r>
      <w:bookmarkEnd w:id="72"/>
    </w:p>
    <w:p>
      <w:pPr>
        <w:pStyle w:val="Ttulo11"/>
        <w:rPr/>
      </w:pPr>
      <w:r>
        <w:rPr/>
      </w:r>
    </w:p>
    <w:p>
      <w:pPr>
        <w:pStyle w:val="Ttulo21"/>
        <w:rPr/>
      </w:pPr>
      <w:bookmarkStart w:id="73" w:name="_Toc229667246"/>
      <w:r>
        <w:rPr/>
        <w:t>20.1 Lei nº 9.394 de 20 de dezembro de 1996 – Lei de Diretrizes e Bases da Educação Nacional</w:t>
      </w:r>
      <w:bookmarkEnd w:id="73"/>
    </w:p>
    <w:p>
      <w:pPr>
        <w:pStyle w:val="Normal"/>
        <w:rPr/>
      </w:pPr>
      <w:r>
        <w:rPr/>
      </w:r>
    </w:p>
    <w:p>
      <w:pPr>
        <w:pStyle w:val="Normal"/>
        <w:pBdr/>
        <w:spacing w:lineRule="auto" w:line="360"/>
        <w:ind w:left="915" w:firstLine="567"/>
        <w:jc w:val="both"/>
        <w:rPr>
          <w:color w:val="FF0000"/>
          <w:sz w:val="24"/>
          <w:szCs w:val="24"/>
        </w:rPr>
      </w:pPr>
      <w:r>
        <w:rPr>
          <w:color w:val="FF0000"/>
          <w:sz w:val="24"/>
          <w:szCs w:val="24"/>
        </w:rPr>
        <w:t>Explicitar como o curso se alinha ao preconizado na Lei de Diretrizes e Bases da Educação Nacional (LDBEN).</w:t>
      </w:r>
    </w:p>
    <w:p>
      <w:pPr>
        <w:pStyle w:val="Ttulo21"/>
        <w:rPr>
          <w:color w:val="FF0000"/>
        </w:rPr>
      </w:pPr>
      <w:bookmarkStart w:id="74" w:name="_Toc229667247"/>
      <w:r>
        <w:rPr/>
        <w:t>20.2 Diretrizes Curriculares Nacionais do Curso</w:t>
      </w:r>
      <w:bookmarkEnd w:id="74"/>
    </w:p>
    <w:p>
      <w:pPr>
        <w:pStyle w:val="Normal"/>
        <w:pBdr/>
        <w:spacing w:lineRule="auto" w:line="360"/>
        <w:ind w:left="915" w:firstLine="567"/>
        <w:jc w:val="both"/>
        <w:rPr>
          <w:color w:val="FF0000"/>
          <w:sz w:val="24"/>
          <w:szCs w:val="24"/>
        </w:rPr>
      </w:pPr>
      <w:r>
        <w:rPr>
          <w:color w:val="FF0000"/>
          <w:sz w:val="24"/>
          <w:szCs w:val="24"/>
        </w:rPr>
        <w:t xml:space="preserve">Explicitar como o curso se alinha às DCNs e mencionar diretamente a DCN vigente. </w:t>
      </w:r>
    </w:p>
    <w:p>
      <w:pPr>
        <w:pStyle w:val="Ttulo21"/>
        <w:rPr>
          <w:color w:val="FF0000"/>
        </w:rPr>
      </w:pPr>
      <w:bookmarkStart w:id="75" w:name="_Toc229667248"/>
      <w:r>
        <w:rPr/>
        <w:t>20.3 Diretrizes Curriculares Nacionais da Educação Básica e formação de professores</w:t>
      </w:r>
      <w:bookmarkEnd w:id="75"/>
    </w:p>
    <w:p>
      <w:pPr>
        <w:pStyle w:val="Normal"/>
        <w:pBdr/>
        <w:spacing w:lineRule="auto" w:line="360"/>
        <w:ind w:left="915" w:firstLine="567"/>
        <w:jc w:val="both"/>
        <w:rPr>
          <w:color w:val="FF0000"/>
          <w:sz w:val="24"/>
          <w:szCs w:val="24"/>
        </w:rPr>
      </w:pPr>
      <w:r>
        <w:rPr>
          <w:color w:val="FF0000"/>
          <w:sz w:val="24"/>
          <w:szCs w:val="24"/>
        </w:rPr>
        <w:t xml:space="preserve">Explicitar como a universidade e o curso se alinham ao preconizado nas DCNs para a educação básica. Evidenciar os documentos institucionais vigentes (política de formação de professores), fóruns permanentes de debate e construção/atualização de políticas. </w:t>
      </w:r>
    </w:p>
    <w:p>
      <w:pPr>
        <w:pStyle w:val="Normal"/>
        <w:spacing w:lineRule="auto" w:line="360"/>
        <w:ind w:left="915" w:firstLine="567"/>
        <w:jc w:val="both"/>
        <w:rPr>
          <w:color w:val="FF0000"/>
          <w:sz w:val="24"/>
          <w:szCs w:val="24"/>
        </w:rPr>
      </w:pPr>
      <w:r>
        <w:rPr>
          <w:color w:val="FF0000"/>
          <w:sz w:val="24"/>
          <w:szCs w:val="24"/>
        </w:rPr>
        <w:t>A Resolução CNE/CP nº 2, de 20 de dezembro de 2019 que definia as Diretrizes Curriculares Nacionais para a Formação Inicial de Professores para a Educação Básica e institui a Base Nacional Comum para a Formação Inicial de Professores da Educação Básica (BNC-Formação) foi revogada e agora vigorará, a partir de 1º de julho de 2024, a   RESOLUÇÃO CNE/CP Nº 4, DE 29 DE MAIO DE 2024 que dispõe sobre as Diretrizes Curriculares Nacionais para a Formação Inicial em Nível Superior de Profissionais do Magistério da Educação Escolar Básica (cursos de licenciatura, cursos de formação pedagógica para graduados não licenciados e cursos de segunda licenciatura).</w:t>
      </w:r>
    </w:p>
    <w:p>
      <w:pPr>
        <w:pStyle w:val="Normal"/>
        <w:pBdr/>
        <w:spacing w:lineRule="auto" w:line="360"/>
        <w:ind w:left="915" w:firstLine="567"/>
        <w:jc w:val="both"/>
        <w:rPr>
          <w:color w:val="FF0000"/>
          <w:sz w:val="24"/>
          <w:szCs w:val="24"/>
        </w:rPr>
      </w:pPr>
      <w:r>
        <w:rPr>
          <w:color w:val="FF0000"/>
          <w:sz w:val="24"/>
          <w:szCs w:val="24"/>
        </w:rPr>
        <w:t xml:space="preserve">Evidenciar como o curso trabalhou o PPC com base na nova resolução e explicitar as estratégias para atendimento dos principais pontos trazidos pela resolução. </w:t>
      </w:r>
    </w:p>
    <w:p>
      <w:pPr>
        <w:pStyle w:val="Ttulo21"/>
        <w:rPr/>
      </w:pPr>
      <w:bookmarkStart w:id="76" w:name="_Toc229667249"/>
      <w:r>
        <w:rPr/>
        <w:t>20.4 Diretrizes Curriculares Nacionais para Educação das Relações Étnico-Raciais e para o Ensino de História e Cultura Afro-Brasileira e Indígena</w:t>
      </w:r>
      <w:bookmarkEnd w:id="76"/>
    </w:p>
    <w:p>
      <w:pPr>
        <w:pStyle w:val="Normal"/>
        <w:pBdr/>
        <w:spacing w:lineRule="auto" w:line="360"/>
        <w:ind w:left="915" w:firstLine="567"/>
        <w:jc w:val="both"/>
        <w:rPr>
          <w:color w:val="EE0000"/>
          <w:sz w:val="24"/>
          <w:szCs w:val="24"/>
        </w:rPr>
      </w:pPr>
      <w:r>
        <w:rPr>
          <w:color w:val="EE0000"/>
          <w:sz w:val="24"/>
          <w:szCs w:val="24"/>
        </w:rPr>
        <w:t>Por força da Lei n° 11.645, de 10/03/2008, e Resolução CNE/CP n° 01, de 17/06/2004 é obrigatório que os PPCs explicitem mecanismos para discutir os temas relacionados às relações étnico-raciais para ensino de história e cultura afro-brasileira e indígena e isso deve ficar clara na construção do PPC e neste tópico deve ser explicado como o curso insere e trabalha o tema.</w:t>
      </w:r>
    </w:p>
    <w:p>
      <w:pPr>
        <w:pStyle w:val="Normal"/>
        <w:pBdr/>
        <w:spacing w:lineRule="auto" w:line="360"/>
        <w:ind w:left="915" w:firstLine="567"/>
        <w:jc w:val="both"/>
        <w:rPr>
          <w:color w:val="EE0000"/>
          <w:sz w:val="24"/>
          <w:szCs w:val="24"/>
          <w:lang w:val="pt-BR"/>
        </w:rPr>
      </w:pPr>
      <w:r>
        <w:rPr>
          <w:color w:val="EE0000"/>
          <w:sz w:val="24"/>
          <w:szCs w:val="24"/>
          <w:lang w:val="pt-BR"/>
        </w:rPr>
        <w:t xml:space="preserve">Trazer como a universidade/curso se alinha ao preconizado na Lei n° 11.645, de 10/03/2008, e Resolução CNE/CP n° 01, de 17/06/2004 e que a disciplina com este conteúdo é ofertada pelo curso de História, que deve constar como optativa no PPC do curso.  </w:t>
      </w:r>
    </w:p>
    <w:p>
      <w:pPr>
        <w:pStyle w:val="Ttulo21"/>
        <w:rPr/>
      </w:pPr>
      <w:bookmarkStart w:id="77" w:name="_Toc229667250"/>
      <w:r>
        <w:rPr/>
        <w:t>20.5 Diretrizes Nacionais para a Educação em Direitos Humanos</w:t>
      </w:r>
      <w:bookmarkEnd w:id="77"/>
    </w:p>
    <w:p>
      <w:pPr>
        <w:pStyle w:val="Normal"/>
        <w:pBdr/>
        <w:spacing w:lineRule="auto" w:line="360"/>
        <w:ind w:left="915" w:firstLine="567"/>
        <w:jc w:val="both"/>
        <w:rPr>
          <w:color w:val="EE0000"/>
          <w:sz w:val="24"/>
          <w:szCs w:val="24"/>
          <w:lang w:val="pt-BR"/>
        </w:rPr>
      </w:pPr>
      <w:r>
        <w:rPr>
          <w:color w:val="EE0000"/>
          <w:sz w:val="24"/>
          <w:szCs w:val="24"/>
        </w:rPr>
        <w:t xml:space="preserve">Conforme disposto no Parecer CNE/CP n° 8, de 06/03/2012, que originou a Resolução CNE/CP n° 1, de 30/05/2012, </w:t>
      </w:r>
      <w:r>
        <w:rPr>
          <w:color w:val="EE0000"/>
          <w:sz w:val="24"/>
          <w:szCs w:val="24"/>
          <w:lang w:val="pt-BR"/>
        </w:rPr>
        <w:t>trazer como o curso se alinha ao Parecer e explicitar que a Disciplina é ofertada ao curso pelo curso de História, e que deve constar na matriz como optativa. Indicar quais outras disciplinas ou formas que o curso apresenta para trabalhar esta temática no corpo do texto deste item.</w:t>
      </w:r>
    </w:p>
    <w:p>
      <w:pPr>
        <w:pStyle w:val="Ttulo21"/>
        <w:rPr>
          <w:color w:val="EE0000"/>
          <w:sz w:val="28"/>
          <w:szCs w:val="28"/>
        </w:rPr>
      </w:pPr>
      <w:bookmarkStart w:id="78" w:name="_Toc229667251"/>
      <w:r>
        <w:rPr/>
        <w:t>20.6 Proteção dos Direitos da Pessoa com Transtorno do Espectro Autista</w:t>
      </w:r>
      <w:bookmarkEnd w:id="78"/>
      <w:r>
        <w:rPr>
          <w:color w:val="EE0000"/>
          <w:sz w:val="28"/>
          <w:szCs w:val="28"/>
        </w:rPr>
        <w:t xml:space="preserve"> </w:t>
      </w:r>
    </w:p>
    <w:p>
      <w:pPr>
        <w:pStyle w:val="ListParagraph"/>
        <w:pBdr/>
        <w:spacing w:lineRule="auto" w:line="360"/>
        <w:ind w:left="0" w:firstLine="567"/>
        <w:jc w:val="both"/>
        <w:rPr>
          <w:color w:val="EE0000"/>
          <w:sz w:val="24"/>
          <w:szCs w:val="24"/>
        </w:rPr>
      </w:pPr>
      <w:r>
        <w:rPr>
          <w:color w:val="EE0000"/>
          <w:sz w:val="24"/>
          <w:szCs w:val="24"/>
        </w:rPr>
        <w:t xml:space="preserve">Por força da Lei n° 12.764, de 27 de dezembro 2012 (Política nacional de proteção dos direitos da pessoa com transtorno do espectro autista), Lei nº 13.146, de 06 de julho de 2015 (Lei brasileira de inclusão da pessoa com deficiência), Decreto nº 10.502, de 30 de setembro de 2020 (Política nacional de educação especial). Trazer como a universidade/curso se alinha aos dispositivos legais (citar o SEP, SAPP, eventos, Núcleos de atenção à saúde, secretaria de inclusão). Descrever de que forma o curso proporciona a inclusão de forma direta. No Ensino Superior é possível adotar algumas estratégias que favorecem a inclusão do estudante no TEA, como: disponibilizar programação com antecedência e avisar o estudante sobre eventuais alterações de cronograma, apoio na socialização, dilatação de tempo na entrega de atividades, utilização de tecnologia assistiva no apoio à escrita, aulas com mais informações visuais, comunicação objetiva, não utilização de figuras de linguagem, e eliminação de barreiras que causem desconforto sensorial. </w:t>
      </w:r>
    </w:p>
    <w:p>
      <w:pPr>
        <w:pStyle w:val="ListParagraph"/>
        <w:pBdr/>
        <w:spacing w:lineRule="auto" w:line="360"/>
        <w:ind w:left="0" w:firstLine="567"/>
        <w:jc w:val="both"/>
        <w:rPr>
          <w:color w:val="EE0000"/>
          <w:sz w:val="24"/>
          <w:szCs w:val="24"/>
        </w:rPr>
      </w:pPr>
      <w:r>
        <w:rPr>
          <w:color w:val="EE0000"/>
          <w:sz w:val="24"/>
          <w:szCs w:val="24"/>
        </w:rPr>
        <w:t>Sugestão: leitura do artigo intitulado: Educação inclusiva na universidade: perspectivas de formação de um estudante com transtorno do espectro autista https://doi.org/10.1590/S1678-4634202248238947</w:t>
      </w:r>
    </w:p>
    <w:p>
      <w:pPr>
        <w:pStyle w:val="Ttulo21"/>
        <w:rPr>
          <w:color w:val="EE0000"/>
          <w:sz w:val="28"/>
          <w:szCs w:val="28"/>
        </w:rPr>
      </w:pPr>
      <w:bookmarkStart w:id="79" w:name="_Toc229667252"/>
      <w:r>
        <w:rPr/>
        <w:t>20.7 Língua Brasileira de Sinais - LIBRAS</w:t>
      </w:r>
      <w:bookmarkEnd w:id="79"/>
      <w:r>
        <w:rPr>
          <w:color w:val="EE0000"/>
          <w:sz w:val="28"/>
          <w:szCs w:val="28"/>
        </w:rPr>
        <w:t xml:space="preserve"> </w:t>
      </w:r>
    </w:p>
    <w:p>
      <w:pPr>
        <w:pStyle w:val="Normal"/>
        <w:spacing w:lineRule="auto" w:line="360"/>
        <w:ind w:left="915" w:firstLine="567"/>
        <w:jc w:val="both"/>
        <w:rPr>
          <w:b/>
          <w:b/>
          <w:bCs/>
          <w:color w:val="EE0000"/>
          <w:sz w:val="24"/>
          <w:szCs w:val="24"/>
        </w:rPr>
      </w:pPr>
      <w:r>
        <w:rPr>
          <w:color w:val="EE0000"/>
          <w:sz w:val="24"/>
          <w:szCs w:val="24"/>
        </w:rPr>
        <w:t>Por força da Lei n° nº 10.436, de 24 de abril de 2002 e Decreto nº 5.626, de 22 de dezembro de 2005, que dispõem sobre a Língua Brasileira de Sinais – LIBRAS, o curso deve explicitar no PPC que oferece a disciplina de LIBRAS, de forma obrigatória, sendo ofertada pelo curso de Letras Português, bem como produzir um texto que informe como o curso atua na inclusão relacionada ao tema e na formação de professores com critério ético e crítico associado as necessidades estabelecidas em lei. Abordar o tema de modo a contemplar a nova dimensão do instrumento de avaliação que versa pelo conhecimento das competências em Libras nos contextos educativos e incluindo aspectos socioculturais, históricos, linguísticos e a adaptação desses conhecimentos ao contexto escolar.</w:t>
      </w:r>
    </w:p>
    <w:p>
      <w:pPr>
        <w:pStyle w:val="Ttulo21"/>
        <w:rPr>
          <w:color w:val="EE0000"/>
          <w:sz w:val="28"/>
          <w:szCs w:val="28"/>
        </w:rPr>
      </w:pPr>
      <w:bookmarkStart w:id="80" w:name="_Toc229667253"/>
      <w:r>
        <w:rPr/>
        <w:t>20.8 Políticas de Educação Ambiental</w:t>
      </w:r>
      <w:bookmarkEnd w:id="80"/>
      <w:r>
        <w:rPr/>
        <w:t xml:space="preserve"> </w:t>
      </w:r>
      <w:r>
        <w:rPr>
          <w:color w:val="EE0000"/>
          <w:sz w:val="28"/>
          <w:szCs w:val="28"/>
        </w:rPr>
        <w:t xml:space="preserve"> </w:t>
      </w:r>
    </w:p>
    <w:p>
      <w:pPr>
        <w:pStyle w:val="Normal"/>
        <w:spacing w:lineRule="auto" w:line="360"/>
        <w:ind w:left="915" w:firstLine="567"/>
        <w:jc w:val="both"/>
        <w:rPr>
          <w:b/>
          <w:b/>
          <w:bCs/>
          <w:color w:val="EE0000"/>
          <w:sz w:val="24"/>
          <w:szCs w:val="24"/>
        </w:rPr>
      </w:pPr>
      <w:r>
        <w:rPr>
          <w:color w:val="EE0000"/>
          <w:sz w:val="24"/>
          <w:szCs w:val="24"/>
        </w:rPr>
        <w:t xml:space="preserve">Por força da Lei no 9.795, de 27/04/1999, Decreto nº 4.281, de 25/06/2002, Resolução CNE/CP nº 2, de 15 de junho de 2012 que estabelece as Diretrizes Curriculares Nacionais para a Educação Ambiental. Apresentar como o curso e a universidade se alinham aos dispositivos legais e mencionar diretamente as estratégias e objetivos para tal inclusão da temática no processo de formação dos alunos. </w:t>
      </w:r>
    </w:p>
    <w:p>
      <w:pPr>
        <w:pStyle w:val="Ttulo21"/>
        <w:rPr>
          <w:color w:val="EE0000"/>
          <w:sz w:val="28"/>
          <w:szCs w:val="28"/>
        </w:rPr>
      </w:pPr>
      <w:bookmarkStart w:id="81" w:name="_Toc229667254"/>
      <w:r>
        <w:rPr/>
        <w:t>20.9 Política de Atualização de Acervos Bibliográficos</w:t>
      </w:r>
      <w:bookmarkEnd w:id="81"/>
    </w:p>
    <w:p>
      <w:pPr>
        <w:pStyle w:val="Normal"/>
        <w:pBdr/>
        <w:spacing w:lineRule="auto" w:line="360"/>
        <w:ind w:left="915" w:firstLine="567"/>
        <w:jc w:val="both"/>
        <w:rPr>
          <w:color w:val="EE0000"/>
          <w:sz w:val="24"/>
          <w:szCs w:val="24"/>
        </w:rPr>
      </w:pPr>
      <w:r>
        <w:rPr>
          <w:color w:val="EE0000"/>
          <w:sz w:val="24"/>
          <w:szCs w:val="24"/>
        </w:rPr>
        <w:t>Indicadores 3.6 e 3.7 que trazem, dentre outras coisas, que: O acervo, tanto de bibliografia e complementar, precisa ser gerenciado de modo a atualizar a quantidade de exemplares e/ou assinaturas de acesso mais demandadas, sendo adotado plano de contingência para a garantia do acesso e do serviço.</w:t>
      </w:r>
      <w:r>
        <w:rPr>
          <w:color w:val="EE0000"/>
          <w:sz w:val="40"/>
          <w:szCs w:val="40"/>
        </w:rPr>
        <w:t xml:space="preserve"> </w:t>
      </w:r>
      <w:r>
        <w:rPr>
          <w:color w:val="EE0000"/>
          <w:sz w:val="24"/>
          <w:szCs w:val="24"/>
        </w:rPr>
        <w:t>Importante: Verificar as orientações sobre a política de atualização dos acervos da biblioteca UFJ. O Plano de Atualização dos acervos bibliográficos formaliza um planejamento de medidas a serem implementadas para o tratamento da aquisição de materiais informacionais para as bibliotecas da UFJ dentro das modalidades de compra e doação. Um dos objetivos do Plano de Atualização dos</w:t>
      </w:r>
      <w:r>
        <w:rPr>
          <w:color w:val="EE0000"/>
          <w:sz w:val="32"/>
          <w:szCs w:val="32"/>
        </w:rPr>
        <w:t xml:space="preserve"> </w:t>
      </w:r>
      <w:r>
        <w:rPr>
          <w:color w:val="EE0000"/>
          <w:sz w:val="24"/>
          <w:szCs w:val="24"/>
        </w:rPr>
        <w:t xml:space="preserve">Acervos é possibilitar a formação de acervo com alto nível de excelência, tanto quantitativa quanto qualitativa, de forma a atender aos interesses da comunidade acadêmica e em consonância com as diretrizes do MEC. </w:t>
      </w:r>
    </w:p>
    <w:p>
      <w:pPr>
        <w:pStyle w:val="Ttulo21"/>
        <w:rPr/>
      </w:pPr>
      <w:bookmarkStart w:id="82" w:name="_Toc229667255"/>
      <w:r>
        <w:rPr/>
        <w:t>20.10 Condições de Acesso para Pessoas com Deficiência e/ou Mobilidade Reduzida</w:t>
      </w:r>
      <w:bookmarkEnd w:id="82"/>
    </w:p>
    <w:p>
      <w:pPr>
        <w:pStyle w:val="Normal"/>
        <w:pBdr/>
        <w:spacing w:lineRule="auto" w:line="360"/>
        <w:ind w:left="915" w:right="144" w:firstLine="567"/>
        <w:jc w:val="both"/>
        <w:rPr>
          <w:color w:val="EE0000"/>
          <w:sz w:val="24"/>
          <w:szCs w:val="24"/>
        </w:rPr>
      </w:pPr>
      <w:r>
        <w:rPr>
          <w:color w:val="EE0000"/>
          <w:sz w:val="24"/>
          <w:szCs w:val="24"/>
        </w:rPr>
        <w:t xml:space="preserve">Trazer como a universidade/curso se alinha ao disposto nas Leis nº 12.711/2012, nº 12.764/2012, nº 13.146/2015 e nº 13.409/2016, bem como com os Decretos nº 3.298/1999 e nº 5.296/2004. Segundo a Lei nº 13.146 de 06 de julho de 2015, de inclusão da pessoa com deficiência, é considerada pessoa com deficiência aquela que tem impedimento de longo prazo de natureza física, mental, intelectual ou sensorial, o qual, em interação com uma ou mais barreiras, pode obstruir sua participação plena e efetiva na sociedade em igualdade de condições com as demais pessoas. </w:t>
      </w:r>
    </w:p>
    <w:p>
      <w:pPr>
        <w:pStyle w:val="Normal"/>
        <w:pBdr/>
        <w:spacing w:lineRule="auto" w:line="360"/>
        <w:ind w:left="915" w:firstLine="567"/>
        <w:jc w:val="both"/>
        <w:rPr>
          <w:color w:val="EE0000"/>
          <w:sz w:val="28"/>
          <w:szCs w:val="28"/>
        </w:rPr>
      </w:pPr>
      <w:r>
        <w:rPr>
          <w:color w:val="EE0000"/>
          <w:sz w:val="28"/>
          <w:szCs w:val="28"/>
        </w:rPr>
      </w:r>
    </w:p>
    <w:p>
      <w:pPr>
        <w:pStyle w:val="Ttulo11"/>
        <w:jc w:val="both"/>
        <w:rPr/>
      </w:pPr>
      <w:bookmarkStart w:id="83" w:name="_Toc229667256"/>
      <w:r>
        <w:rPr/>
        <w:t>21 EMENTAS, BIBLIOGRAFIAS BÁSICAS E COMPLEMENTARES DOS COMPONENTES CURRICULARES</w:t>
      </w:r>
      <w:bookmarkEnd w:id="83"/>
    </w:p>
    <w:p>
      <w:pPr>
        <w:pStyle w:val="Normal"/>
        <w:pBdr/>
        <w:spacing w:lineRule="auto" w:line="360"/>
        <w:ind w:left="915" w:firstLine="567"/>
        <w:jc w:val="both"/>
        <w:rPr>
          <w:color w:val="FF0000"/>
          <w:sz w:val="24"/>
          <w:szCs w:val="24"/>
        </w:rPr>
      </w:pPr>
      <w:r>
        <w:rPr>
          <w:color w:val="FF0000"/>
          <w:sz w:val="24"/>
          <w:szCs w:val="24"/>
        </w:rPr>
        <w:t>Listar os componentes curriculares (em ordem alfabética) com ementas, referências bibliográficas básicas (com três títulos), e complementares (cinco títulos) (devendo-se utilizar fonte Times New Roman, tamanho 10 e entrelinhas simples) conformo o modelo.</w:t>
      </w:r>
    </w:p>
    <w:p>
      <w:pPr>
        <w:pStyle w:val="Normal"/>
        <w:pBdr/>
        <w:spacing w:lineRule="auto" w:line="360"/>
        <w:ind w:left="915" w:firstLine="567"/>
        <w:jc w:val="both"/>
        <w:rPr>
          <w:b/>
          <w:b/>
          <w:bCs/>
          <w:color w:val="FF0000"/>
          <w:sz w:val="20"/>
          <w:szCs w:val="20"/>
        </w:rPr>
      </w:pPr>
      <w:r>
        <w:rPr>
          <w:b/>
          <w:bCs/>
          <w:color w:val="FF0000"/>
          <w:sz w:val="20"/>
          <w:szCs w:val="20"/>
        </w:rPr>
        <w:t>Nome da Disciplina</w:t>
      </w:r>
    </w:p>
    <w:p>
      <w:pPr>
        <w:pStyle w:val="Normal"/>
        <w:pBdr/>
        <w:spacing w:lineRule="auto" w:line="360"/>
        <w:ind w:left="915" w:firstLine="567"/>
        <w:jc w:val="both"/>
        <w:rPr>
          <w:color w:val="FF0000"/>
          <w:sz w:val="21"/>
          <w:szCs w:val="21"/>
        </w:rPr>
      </w:pPr>
      <w:r>
        <w:rPr>
          <w:b/>
          <w:bCs/>
          <w:color w:val="FF0000"/>
          <w:sz w:val="21"/>
          <w:szCs w:val="21"/>
        </w:rPr>
        <w:t>Ementa:</w:t>
      </w:r>
      <w:r>
        <w:rPr>
          <w:color w:val="FF0000"/>
          <w:sz w:val="21"/>
          <w:szCs w:val="21"/>
        </w:rPr>
        <w:t xml:space="preserve"> Incluir o texto da ementa da disciplina, na mesma linha do “título ementa” com recuo de primeira linha em 1cm e texto justificado.</w:t>
      </w:r>
    </w:p>
    <w:p>
      <w:pPr>
        <w:pStyle w:val="Normal"/>
        <w:pBdr/>
        <w:spacing w:lineRule="auto" w:line="360"/>
        <w:ind w:left="915" w:firstLine="567"/>
        <w:jc w:val="both"/>
        <w:rPr>
          <w:color w:val="FF0000"/>
          <w:sz w:val="21"/>
          <w:szCs w:val="21"/>
        </w:rPr>
      </w:pPr>
      <w:r>
        <w:rPr>
          <w:b/>
          <w:bCs/>
          <w:color w:val="FF0000"/>
          <w:sz w:val="21"/>
          <w:szCs w:val="21"/>
        </w:rPr>
        <w:t>Bibliografia básica</w:t>
      </w:r>
      <w:r>
        <w:rPr>
          <w:color w:val="FF0000"/>
          <w:sz w:val="21"/>
          <w:szCs w:val="21"/>
        </w:rPr>
        <w:t xml:space="preserve"> (texto alinhado a esquerda)</w:t>
      </w:r>
    </w:p>
    <w:p>
      <w:pPr>
        <w:pStyle w:val="Normal"/>
        <w:pBdr/>
        <w:spacing w:lineRule="auto" w:line="360"/>
        <w:ind w:left="915" w:firstLine="567"/>
        <w:jc w:val="both"/>
        <w:rPr>
          <w:color w:val="FF0000"/>
          <w:sz w:val="21"/>
          <w:szCs w:val="21"/>
        </w:rPr>
      </w:pPr>
      <w:r>
        <w:rPr>
          <w:color w:val="FF0000"/>
          <w:sz w:val="21"/>
          <w:szCs w:val="21"/>
        </w:rPr>
        <w:t>Título 1.</w:t>
      </w:r>
    </w:p>
    <w:p>
      <w:pPr>
        <w:pStyle w:val="Normal"/>
        <w:pBdr/>
        <w:spacing w:lineRule="auto" w:line="360"/>
        <w:ind w:left="915" w:firstLine="567"/>
        <w:jc w:val="both"/>
        <w:rPr>
          <w:color w:val="FF0000"/>
          <w:sz w:val="21"/>
          <w:szCs w:val="21"/>
        </w:rPr>
      </w:pPr>
      <w:r>
        <w:rPr>
          <w:color w:val="FF0000"/>
          <w:sz w:val="21"/>
          <w:szCs w:val="21"/>
        </w:rPr>
        <w:t>Título 2.</w:t>
      </w:r>
    </w:p>
    <w:p>
      <w:pPr>
        <w:pStyle w:val="Normal"/>
        <w:pBdr/>
        <w:spacing w:lineRule="auto" w:line="360"/>
        <w:ind w:left="915" w:firstLine="567"/>
        <w:jc w:val="both"/>
        <w:rPr>
          <w:color w:val="FF0000"/>
          <w:sz w:val="21"/>
          <w:szCs w:val="21"/>
        </w:rPr>
      </w:pPr>
      <w:r>
        <w:rPr>
          <w:color w:val="FF0000"/>
          <w:sz w:val="21"/>
          <w:szCs w:val="21"/>
        </w:rPr>
        <w:t>Título 3.</w:t>
      </w:r>
    </w:p>
    <w:p>
      <w:pPr>
        <w:pStyle w:val="Normal"/>
        <w:pBdr/>
        <w:spacing w:lineRule="auto" w:line="360"/>
        <w:ind w:left="915" w:firstLine="567"/>
        <w:jc w:val="both"/>
        <w:rPr>
          <w:color w:val="FF0000"/>
          <w:sz w:val="21"/>
          <w:szCs w:val="21"/>
        </w:rPr>
      </w:pPr>
      <w:r>
        <w:rPr>
          <w:b/>
          <w:bCs/>
          <w:color w:val="FF0000"/>
          <w:sz w:val="21"/>
          <w:szCs w:val="21"/>
        </w:rPr>
        <w:t>Bibliografia complementar</w:t>
      </w:r>
      <w:r>
        <w:rPr>
          <w:color w:val="FF0000"/>
          <w:sz w:val="21"/>
          <w:szCs w:val="21"/>
        </w:rPr>
        <w:t xml:space="preserve"> (texto alinhado a esquerda)</w:t>
      </w:r>
    </w:p>
    <w:p>
      <w:pPr>
        <w:pStyle w:val="Normal"/>
        <w:pBdr/>
        <w:spacing w:lineRule="auto" w:line="360"/>
        <w:ind w:left="915" w:firstLine="567"/>
        <w:jc w:val="both"/>
        <w:rPr>
          <w:color w:val="FF0000"/>
          <w:sz w:val="21"/>
          <w:szCs w:val="21"/>
        </w:rPr>
      </w:pPr>
      <w:r>
        <w:rPr>
          <w:color w:val="FF0000"/>
          <w:sz w:val="21"/>
          <w:szCs w:val="21"/>
        </w:rPr>
        <w:t>Título 1.</w:t>
      </w:r>
    </w:p>
    <w:p>
      <w:pPr>
        <w:pStyle w:val="Normal"/>
        <w:pBdr/>
        <w:spacing w:lineRule="auto" w:line="360"/>
        <w:ind w:left="915" w:firstLine="567"/>
        <w:jc w:val="both"/>
        <w:rPr>
          <w:color w:val="FF0000"/>
          <w:sz w:val="21"/>
          <w:szCs w:val="21"/>
        </w:rPr>
      </w:pPr>
      <w:r>
        <w:rPr>
          <w:color w:val="FF0000"/>
          <w:sz w:val="21"/>
          <w:szCs w:val="21"/>
        </w:rPr>
        <w:t>Título 2.</w:t>
      </w:r>
    </w:p>
    <w:p>
      <w:pPr>
        <w:pStyle w:val="Normal"/>
        <w:pBdr/>
        <w:spacing w:lineRule="auto" w:line="360"/>
        <w:ind w:left="915" w:firstLine="567"/>
        <w:jc w:val="both"/>
        <w:rPr>
          <w:color w:val="FF0000"/>
          <w:sz w:val="21"/>
          <w:szCs w:val="21"/>
        </w:rPr>
      </w:pPr>
      <w:r>
        <w:rPr>
          <w:color w:val="FF0000"/>
          <w:sz w:val="21"/>
          <w:szCs w:val="21"/>
        </w:rPr>
        <w:t>Título 3.</w:t>
      </w:r>
    </w:p>
    <w:p>
      <w:pPr>
        <w:pStyle w:val="Normal"/>
        <w:pBdr/>
        <w:spacing w:lineRule="auto" w:line="360"/>
        <w:ind w:left="915" w:firstLine="567"/>
        <w:jc w:val="both"/>
        <w:rPr>
          <w:color w:val="FF0000"/>
          <w:sz w:val="21"/>
          <w:szCs w:val="21"/>
        </w:rPr>
      </w:pPr>
      <w:r>
        <w:rPr>
          <w:color w:val="FF0000"/>
          <w:sz w:val="21"/>
          <w:szCs w:val="21"/>
        </w:rPr>
        <w:t>Título 4.</w:t>
      </w:r>
    </w:p>
    <w:p>
      <w:pPr>
        <w:pStyle w:val="Normal"/>
        <w:pBdr/>
        <w:spacing w:lineRule="auto" w:line="360"/>
        <w:ind w:left="915" w:firstLine="567"/>
        <w:jc w:val="both"/>
        <w:rPr>
          <w:color w:val="FF0000"/>
          <w:sz w:val="21"/>
          <w:szCs w:val="21"/>
        </w:rPr>
      </w:pPr>
      <w:r>
        <w:rPr>
          <w:color w:val="FF0000"/>
          <w:sz w:val="21"/>
          <w:szCs w:val="21"/>
        </w:rPr>
        <w:t>Título 5.</w:t>
      </w:r>
    </w:p>
    <w:p>
      <w:pPr>
        <w:pStyle w:val="Normal"/>
        <w:pBdr/>
        <w:spacing w:lineRule="auto" w:line="360"/>
        <w:ind w:left="915" w:firstLine="567"/>
        <w:jc w:val="both"/>
        <w:rPr>
          <w:color w:val="FF0000"/>
          <w:sz w:val="24"/>
          <w:szCs w:val="24"/>
        </w:rPr>
      </w:pPr>
      <w:r>
        <w:rPr>
          <w:color w:val="FF0000"/>
          <w:sz w:val="24"/>
          <w:szCs w:val="24"/>
        </w:rPr>
        <w:t>-Incluir nas ementas das disciplinas de forma explicita as expressões relacionadas aos itens deste documento: Educação das Relações Étnico-Raciais e para o Ensino de História e Cultura Afro-Brasileira e Indígena; Educação em Direitos Humanos; Educação Ambiental.</w:t>
      </w:r>
    </w:p>
    <w:p>
      <w:pPr>
        <w:pStyle w:val="Normal"/>
        <w:pBdr/>
        <w:spacing w:lineRule="auto" w:line="360"/>
        <w:ind w:left="915" w:firstLine="567"/>
        <w:jc w:val="both"/>
        <w:rPr>
          <w:color w:val="EE0000"/>
          <w:sz w:val="24"/>
          <w:szCs w:val="24"/>
          <w:lang w:val="pt-BR"/>
        </w:rPr>
      </w:pPr>
      <w:r>
        <w:rPr>
          <w:color w:val="EE0000"/>
          <w:sz w:val="24"/>
          <w:szCs w:val="24"/>
          <w:lang w:val="pt-BR"/>
        </w:rPr>
        <w:t>Estas orientações foram elaboradas no intuito de orientar os docentes acerca das bibliografias indicadas nos Projetos Pedagógicos dos Cursos, tendo como base o Instrumento de Avaliação de Cursos Presencial e a Distância do Ministério da Educação (MEC). As orientações a seguir, contribuirão para a qualidade dos acervos, para o atendimento das demandas da comunidade acadêmica, bem como para obtenção de melhores conceitos quando das avaliações do MEC.</w:t>
      </w:r>
    </w:p>
    <w:p>
      <w:pPr>
        <w:pStyle w:val="Normal"/>
        <w:pBdr/>
        <w:spacing w:lineRule="auto" w:line="360"/>
        <w:ind w:left="915" w:firstLine="567"/>
        <w:jc w:val="both"/>
        <w:rPr>
          <w:color w:val="FF0000"/>
          <w:sz w:val="24"/>
          <w:szCs w:val="24"/>
        </w:rPr>
      </w:pPr>
      <w:r>
        <w:rPr>
          <w:color w:val="FF0000"/>
          <w:sz w:val="24"/>
          <w:szCs w:val="24"/>
        </w:rPr>
        <w:t>- Separe bibliografia básica de bibliografia complementar em cada Unidade Curricular.</w:t>
      </w:r>
    </w:p>
    <w:p>
      <w:pPr>
        <w:pStyle w:val="Normal"/>
        <w:pBdr/>
        <w:spacing w:lineRule="auto" w:line="360"/>
        <w:ind w:left="915" w:firstLine="567"/>
        <w:jc w:val="both"/>
        <w:rPr>
          <w:color w:val="FF0000"/>
          <w:sz w:val="24"/>
          <w:szCs w:val="24"/>
        </w:rPr>
      </w:pPr>
      <w:r>
        <w:rPr>
          <w:bCs/>
          <w:color w:val="FF0000"/>
          <w:sz w:val="24"/>
          <w:szCs w:val="24"/>
        </w:rPr>
        <w:t>- Indique 3 títulos de livros para bibliografia básica e 5 títulos para bibliografia complementar (impressos ou eletrônicos gratuitos).</w:t>
      </w:r>
      <w:r>
        <w:rPr>
          <w:color w:val="FF0000"/>
          <w:sz w:val="24"/>
          <w:szCs w:val="24"/>
        </w:rPr>
        <w:t xml:space="preserve"> O instrumento de avaliação do MEC-IACG, atualizado em 2017, retirou os parâmetros quantitativos relacionados aos acervos bibliográficos. No entanto, recomendamos que seja seguida a orientação contida no instrumento anterior para que sejam indicados 3 títulos na bibliografia básica e 5 títulos na bibliografia complementar. Esse parâmetro contribui para melhor atendimento das demandas referentes à compra de material bibliográfico, haja vista a escassez de recursos destinados a essa finalidade. Quanto mais títulos, maior a demanda de recursos para compra e menor a possibilidade de adequação do acervo a médio prazo.</w:t>
      </w:r>
    </w:p>
    <w:p>
      <w:pPr>
        <w:pStyle w:val="Normal"/>
        <w:pBdr/>
        <w:spacing w:lineRule="auto" w:line="360"/>
        <w:ind w:left="915" w:firstLine="567"/>
        <w:jc w:val="both"/>
        <w:rPr>
          <w:color w:val="FF0000"/>
          <w:sz w:val="24"/>
          <w:szCs w:val="24"/>
        </w:rPr>
      </w:pPr>
      <w:r>
        <w:rPr>
          <w:color w:val="FF0000"/>
          <w:sz w:val="24"/>
          <w:szCs w:val="24"/>
        </w:rPr>
        <w:t xml:space="preserve">- Consulte a disponibilidade da obra no mercado editorial. Não é possível adquirir obras esgotadas no mercado. Para consultar se a obra existe no mercado editorial, recomendamos que seja verificada a disponibilidade no catálogo/site da editora. </w:t>
      </w:r>
    </w:p>
    <w:p>
      <w:pPr>
        <w:pStyle w:val="Normal"/>
        <w:pBdr/>
        <w:spacing w:lineRule="auto" w:line="360"/>
        <w:ind w:left="915" w:firstLine="567"/>
        <w:jc w:val="both"/>
        <w:rPr>
          <w:color w:val="FF0000"/>
          <w:sz w:val="24"/>
          <w:szCs w:val="24"/>
        </w:rPr>
      </w:pPr>
      <w:r>
        <w:rPr>
          <w:color w:val="FF0000"/>
          <w:sz w:val="24"/>
          <w:szCs w:val="24"/>
        </w:rPr>
        <w:t>- Indique preferencialmente a última versão do título. É importante manter as referências do PPC atualizadas. Mesmo que a biblioteca possua versões anteriores do título, opte por indicar a última edição, de acordo com a disponibilidade no mercado editorial. Caso seja importante manter uma edição anterior em razão do conteúdo, certifique-se de que a biblioteca já possui o título em quantidades suficientes para a demanda.</w:t>
      </w:r>
    </w:p>
    <w:p>
      <w:pPr>
        <w:pStyle w:val="Ttulo31"/>
        <w:tabs>
          <w:tab w:val="clear" w:pos="708"/>
          <w:tab w:val="left" w:pos="1275" w:leader="none"/>
        </w:tabs>
        <w:spacing w:lineRule="auto" w:line="360"/>
        <w:ind w:left="0" w:firstLine="567"/>
        <w:jc w:val="both"/>
        <w:rPr>
          <w:b w:val="false"/>
          <w:b w:val="false"/>
          <w:bCs w:val="false"/>
          <w:i w:val="false"/>
          <w:i w:val="false"/>
          <w:iCs w:val="false"/>
          <w:color w:val="FF0000"/>
        </w:rPr>
      </w:pPr>
      <w:r>
        <w:rPr>
          <w:b w:val="false"/>
          <w:bCs w:val="false"/>
          <w:i w:val="false"/>
          <w:iCs w:val="false"/>
          <w:color w:val="FF0000"/>
        </w:rPr>
        <w:t>- Evite repetição de títulos em mais de uma disciplina. De acordo com o Instrumento do MEC, o Núcleo Docente Estruturante deverá atestar a existência de compatibilidade entre o número de vagas autorizadas (do próprio curso e de outros que utilizem os títulos) e a quantidade de exemplares por título (ou assinatura de acesso) disponível no acervo, para cada bibliografia básica e complementar da Unidade Curricular. Ou seja, se a bibliografia se repetir em vários períodos a demanda de uso será maior e acarretará na necessidade de aquisição de um número superior de exemplares do mesmo título.</w:t>
      </w:r>
    </w:p>
    <w:p>
      <w:pPr>
        <w:pStyle w:val="Ttulo31"/>
        <w:tabs>
          <w:tab w:val="clear" w:pos="708"/>
          <w:tab w:val="left" w:pos="1275" w:leader="none"/>
        </w:tabs>
        <w:spacing w:lineRule="auto" w:line="360"/>
        <w:ind w:left="0" w:firstLine="567"/>
        <w:jc w:val="both"/>
        <w:rPr>
          <w:b w:val="false"/>
          <w:b w:val="false"/>
          <w:bCs w:val="false"/>
          <w:i w:val="false"/>
          <w:i w:val="false"/>
          <w:iCs w:val="false"/>
          <w:color w:val="FF0000"/>
        </w:rPr>
      </w:pPr>
      <w:r>
        <w:rPr>
          <w:b w:val="false"/>
          <w:bCs w:val="false"/>
          <w:i w:val="false"/>
          <w:iCs w:val="false"/>
          <w:color w:val="FF0000"/>
        </w:rPr>
        <w:t>- Não referencie capítulo de livros.</w:t>
      </w:r>
    </w:p>
    <w:p>
      <w:pPr>
        <w:pStyle w:val="Ttulo31"/>
        <w:tabs>
          <w:tab w:val="clear" w:pos="708"/>
          <w:tab w:val="left" w:pos="1275" w:leader="none"/>
        </w:tabs>
        <w:spacing w:lineRule="auto" w:line="360"/>
        <w:ind w:left="0" w:firstLine="567"/>
        <w:jc w:val="both"/>
        <w:rPr>
          <w:b w:val="false"/>
          <w:b w:val="false"/>
          <w:bCs w:val="false"/>
          <w:i w:val="false"/>
          <w:i w:val="false"/>
          <w:color w:val="FF0000"/>
        </w:rPr>
      </w:pPr>
      <w:r>
        <w:rPr>
          <w:b w:val="false"/>
          <w:bCs w:val="false"/>
          <w:i w:val="false"/>
          <w:iCs w:val="false"/>
          <w:color w:val="FF0000"/>
        </w:rPr>
        <w:t xml:space="preserve">- </w:t>
      </w:r>
      <w:r>
        <w:rPr>
          <w:b w:val="false"/>
          <w:bCs w:val="false"/>
          <w:i w:val="false"/>
          <w:color w:val="FF0000"/>
        </w:rPr>
        <w:t>Referencie títulos de obras online (links ou referências de sites) que estejam disponíveis gratuitamente.</w:t>
      </w:r>
    </w:p>
    <w:p>
      <w:pPr>
        <w:pStyle w:val="Ttulo31"/>
        <w:tabs>
          <w:tab w:val="clear" w:pos="708"/>
          <w:tab w:val="left" w:pos="1275" w:leader="none"/>
        </w:tabs>
        <w:spacing w:lineRule="auto" w:line="360"/>
        <w:ind w:left="0" w:firstLine="567"/>
        <w:jc w:val="both"/>
        <w:rPr>
          <w:b w:val="false"/>
          <w:b w:val="false"/>
          <w:bCs w:val="false"/>
          <w:i w:val="false"/>
          <w:i w:val="false"/>
          <w:color w:val="FF0000"/>
        </w:rPr>
      </w:pPr>
      <w:r>
        <w:rPr>
          <w:b w:val="false"/>
          <w:bCs w:val="false"/>
          <w:i w:val="false"/>
          <w:color w:val="FF0000"/>
        </w:rPr>
        <w:t>- Referencie artigos de periódicos preferencialmente na bibliografia complementar.</w:t>
      </w:r>
    </w:p>
    <w:p>
      <w:pPr>
        <w:pStyle w:val="Ttulo31"/>
        <w:tabs>
          <w:tab w:val="clear" w:pos="708"/>
          <w:tab w:val="left" w:pos="1275" w:leader="none"/>
        </w:tabs>
        <w:spacing w:lineRule="auto" w:line="360"/>
        <w:ind w:left="0" w:firstLine="567"/>
        <w:jc w:val="both"/>
        <w:rPr>
          <w:b w:val="false"/>
          <w:b w:val="false"/>
          <w:bCs w:val="false"/>
          <w:i w:val="false"/>
          <w:i w:val="false"/>
          <w:iCs w:val="false"/>
          <w:color w:val="FF0000"/>
        </w:rPr>
      </w:pPr>
      <w:r>
        <w:rPr>
          <w:b w:val="false"/>
          <w:bCs w:val="false"/>
          <w:i w:val="false"/>
          <w:color w:val="FF0000"/>
        </w:rPr>
        <w:t>- Consulte se os títulos que serão indicados já existem no acervo da biblioteca.</w:t>
      </w:r>
      <w:r>
        <w:rPr>
          <w:b w:val="false"/>
          <w:bCs w:val="false"/>
          <w:i w:val="false"/>
          <w:iCs w:val="false"/>
          <w:color w:val="FF0000"/>
        </w:rPr>
        <w:t xml:space="preserve"> Ao consultar se o título existe no acervo da biblioteca, atente-se em relação a quantidade disponível. Evite incluir títulos que possuam um único exemplar e não esteja disponível para compra no mercado editorial, pois em caso de perda do exemplar não haverá possibilidade de reposição.</w:t>
      </w:r>
    </w:p>
    <w:p>
      <w:pPr>
        <w:pStyle w:val="Ttulo31"/>
        <w:tabs>
          <w:tab w:val="clear" w:pos="708"/>
          <w:tab w:val="left" w:pos="1275" w:leader="none"/>
        </w:tabs>
        <w:spacing w:lineRule="auto" w:line="360"/>
        <w:ind w:left="0" w:firstLine="567"/>
        <w:jc w:val="both"/>
        <w:rPr>
          <w:b w:val="false"/>
          <w:b w:val="false"/>
          <w:bCs w:val="false"/>
          <w:i w:val="false"/>
          <w:i w:val="false"/>
          <w:color w:val="FF0000"/>
        </w:rPr>
      </w:pPr>
      <w:r>
        <w:rPr>
          <w:b w:val="false"/>
          <w:bCs w:val="false"/>
          <w:i w:val="false"/>
          <w:iCs w:val="false"/>
          <w:color w:val="FF0000"/>
        </w:rPr>
        <w:t xml:space="preserve">- </w:t>
      </w:r>
      <w:r>
        <w:rPr>
          <w:b w:val="false"/>
          <w:bCs w:val="false"/>
          <w:i w:val="false"/>
          <w:color w:val="FF0000"/>
        </w:rPr>
        <w:t>Padronize as referências de acordo com as normas vigentes da ABNT / NBR 6023:2018</w:t>
      </w:r>
    </w:p>
    <w:p>
      <w:pPr>
        <w:pStyle w:val="Ttulo31"/>
        <w:tabs>
          <w:tab w:val="clear" w:pos="708"/>
          <w:tab w:val="left" w:pos="1275" w:leader="none"/>
        </w:tabs>
        <w:spacing w:lineRule="auto" w:line="360"/>
        <w:jc w:val="both"/>
        <w:rPr>
          <w:b w:val="false"/>
          <w:b w:val="false"/>
          <w:bCs w:val="false"/>
          <w:i w:val="false"/>
          <w:i w:val="false"/>
          <w:iCs w:val="false"/>
          <w:color w:val="FF0000"/>
        </w:rPr>
      </w:pPr>
      <w:r>
        <w:rPr>
          <w:b w:val="false"/>
          <w:bCs w:val="false"/>
          <w:i w:val="false"/>
          <w:iCs w:val="false"/>
          <w:color w:val="FF0000"/>
        </w:rPr>
      </w:r>
    </w:p>
    <w:p>
      <w:pPr>
        <w:pStyle w:val="Ttulo31"/>
        <w:ind w:left="0" w:hanging="360"/>
        <w:rPr>
          <w:b w:val="false"/>
          <w:b w:val="false"/>
          <w:bCs w:val="false"/>
          <w:i w:val="false"/>
          <w:i w:val="false"/>
          <w:color w:val="FF0000"/>
        </w:rPr>
      </w:pPr>
      <w:r>
        <w:rPr>
          <w:b w:val="false"/>
          <w:bCs w:val="false"/>
          <w:i w:val="false"/>
          <w:color w:val="FF0000"/>
        </w:rPr>
        <w:t>DADOS DAS DISCIPLINAS DE LIBRAS - LICENCIATURA</w:t>
      </w:r>
    </w:p>
    <w:p>
      <w:pPr>
        <w:pStyle w:val="Normal"/>
        <w:pBdr/>
        <w:spacing w:before="47" w:after="0"/>
        <w:rPr>
          <w:i/>
          <w:i/>
          <w:color w:val="000000"/>
          <w:sz w:val="20"/>
          <w:szCs w:val="20"/>
        </w:rPr>
      </w:pPr>
      <w:r>
        <w:rPr>
          <w:i/>
          <w:color w:val="000000"/>
          <w:sz w:val="20"/>
          <w:szCs w:val="20"/>
        </w:rPr>
      </w:r>
    </w:p>
    <w:p>
      <w:pPr>
        <w:pStyle w:val="Normal"/>
        <w:ind w:left="555" w:hanging="360"/>
        <w:rPr>
          <w:color w:val="EE0000"/>
          <w:sz w:val="20"/>
          <w:szCs w:val="20"/>
        </w:rPr>
      </w:pPr>
      <w:r>
        <w:rPr>
          <w:b/>
          <w:color w:val="EE0000"/>
          <w:sz w:val="20"/>
          <w:szCs w:val="20"/>
        </w:rPr>
        <w:t>Libras I - Língua Brasileira de Sinais I (64h: 32 h teóricas e 32 h práticas</w:t>
      </w:r>
      <w:r>
        <w:rPr>
          <w:color w:val="EE0000"/>
          <w:sz w:val="20"/>
          <w:szCs w:val="20"/>
        </w:rPr>
        <w:t>)</w:t>
      </w:r>
    </w:p>
    <w:p>
      <w:pPr>
        <w:pStyle w:val="Normal"/>
        <w:pBdr/>
        <w:ind w:left="915" w:firstLine="567"/>
        <w:jc w:val="both"/>
        <w:rPr>
          <w:color w:val="EE0000"/>
          <w:sz w:val="20"/>
          <w:szCs w:val="20"/>
        </w:rPr>
      </w:pPr>
      <w:r>
        <w:rPr>
          <w:color w:val="EE0000"/>
          <w:sz w:val="20"/>
          <w:szCs w:val="20"/>
        </w:rPr>
        <w:t>Ementa: Concepções sobre Língua de Sinais. Noções básicas de Libras. Introdução às práticas de compreensão e produção em Libras através do uso de estruturas comunicativas elementares. Fundamentos da educação de surdos. A Libras como instrumento básico no processo de inclusão educacional dos surdos.</w:t>
      </w:r>
    </w:p>
    <w:p>
      <w:pPr>
        <w:pStyle w:val="Normal"/>
        <w:spacing w:before="4" w:after="0"/>
        <w:ind w:left="555" w:hanging="360"/>
        <w:rPr>
          <w:b/>
          <w:b/>
          <w:color w:val="EE0000"/>
          <w:sz w:val="20"/>
          <w:szCs w:val="20"/>
        </w:rPr>
      </w:pPr>
      <w:r>
        <w:rPr>
          <w:b/>
          <w:color w:val="EE0000"/>
          <w:sz w:val="20"/>
          <w:szCs w:val="20"/>
        </w:rPr>
        <w:t>Bibliografia básica</w:t>
      </w:r>
    </w:p>
    <w:p>
      <w:pPr>
        <w:pStyle w:val="Normal"/>
        <w:ind w:left="915" w:right="171" w:firstLine="567"/>
        <w:rPr>
          <w:color w:val="EE0000"/>
          <w:sz w:val="20"/>
          <w:szCs w:val="20"/>
        </w:rPr>
      </w:pPr>
      <w:r>
        <w:rPr>
          <w:color w:val="EE0000"/>
          <w:sz w:val="20"/>
          <w:szCs w:val="20"/>
        </w:rPr>
        <w:t>GESSER, Audrei. LIBRAS? Que língua é essa?: Crenças e preconceitos em torno da língua de sinais e da realidade surda. São Paulo: Parábola, 2009.</w:t>
      </w:r>
    </w:p>
    <w:p>
      <w:pPr>
        <w:pStyle w:val="Normal"/>
        <w:ind w:left="915" w:right="167" w:firstLine="567"/>
        <w:rPr>
          <w:color w:val="EE0000"/>
          <w:sz w:val="20"/>
          <w:szCs w:val="20"/>
        </w:rPr>
      </w:pPr>
      <w:r>
        <w:rPr>
          <w:color w:val="EE0000"/>
          <w:sz w:val="20"/>
          <w:szCs w:val="20"/>
        </w:rPr>
        <w:t>PIMENTA, N.; QUADROS, R. M. Curso de Libras 1 – Iniciante. 3 ed. rev. e atualizada. Porto Alegre: Editora Pallotti, 2008.</w:t>
      </w:r>
    </w:p>
    <w:p>
      <w:pPr>
        <w:pStyle w:val="Normal"/>
        <w:ind w:left="915" w:right="169" w:firstLine="567"/>
        <w:rPr>
          <w:color w:val="EE0000"/>
          <w:sz w:val="20"/>
          <w:szCs w:val="20"/>
        </w:rPr>
      </w:pPr>
      <w:r>
        <w:rPr>
          <w:color w:val="EE0000"/>
          <w:sz w:val="20"/>
          <w:szCs w:val="20"/>
        </w:rPr>
        <w:t>SILVA, T. A. A disciplina de Libras na formação de professores. 2017. 187f. Dissertação (Metrado em Educação) – Instituto Federal de Educação, Ciência e Tecnologia de Goiás, Jataí. 2017. Disponível em: &lt; https://</w:t>
      </w:r>
      <w:hyperlink r:id="rId6">
        <w:r>
          <w:rPr>
            <w:color w:val="EE0000"/>
            <w:sz w:val="20"/>
            <w:szCs w:val="20"/>
          </w:rPr>
          <w:t>www.ifg.edu.br/attachments/article/1279/Dissertacao-Thabio-de-Almeida-Silva-2017-(.pdf11.431kb).pdf</w:t>
        </w:r>
      </w:hyperlink>
      <w:r>
        <w:rPr>
          <w:color w:val="EE0000"/>
          <w:sz w:val="20"/>
          <w:szCs w:val="20"/>
        </w:rPr>
        <w:t>&gt;.</w:t>
      </w:r>
    </w:p>
    <w:p>
      <w:pPr>
        <w:pStyle w:val="Normal"/>
        <w:ind w:left="555" w:hanging="360"/>
        <w:rPr>
          <w:b/>
          <w:b/>
          <w:color w:val="EE0000"/>
          <w:sz w:val="20"/>
          <w:szCs w:val="20"/>
        </w:rPr>
      </w:pPr>
      <w:r>
        <w:rPr>
          <w:b/>
          <w:color w:val="EE0000"/>
          <w:sz w:val="20"/>
          <w:szCs w:val="20"/>
        </w:rPr>
        <w:t>Bibliografia complementar</w:t>
      </w:r>
    </w:p>
    <w:p>
      <w:pPr>
        <w:pStyle w:val="Normal"/>
        <w:ind w:left="915" w:right="745" w:firstLine="567"/>
        <w:rPr>
          <w:color w:val="EE0000"/>
          <w:sz w:val="20"/>
          <w:szCs w:val="20"/>
        </w:rPr>
      </w:pPr>
      <w:r>
        <w:rPr>
          <w:color w:val="EE0000"/>
          <w:sz w:val="20"/>
          <w:szCs w:val="20"/>
        </w:rPr>
        <w:t>ALMEIDA, E. C., DUARTE, P. M. Atividades ilustradas em sinais da Libras. São Paulo: Revinter, 2004. BRITO, L. F. Por uma gramática de língua de sinais. Rio de Janeiro: Tempo Brasileiro, 2010.</w:t>
      </w:r>
    </w:p>
    <w:p>
      <w:pPr>
        <w:pStyle w:val="Normal"/>
        <w:ind w:left="915" w:right="170" w:firstLine="567"/>
        <w:rPr>
          <w:color w:val="EE0000"/>
          <w:sz w:val="20"/>
          <w:szCs w:val="20"/>
        </w:rPr>
      </w:pPr>
      <w:r>
        <w:rPr>
          <w:color w:val="EE0000"/>
          <w:sz w:val="20"/>
          <w:szCs w:val="20"/>
        </w:rPr>
        <w:t>CAPOVILLA, F. C., RAPHAEL, W. D., MAURICIO, A. C. L. Novo deit-Libras: Dicionário Enciclopédico Ilustrado Trilíngüe da Língua de Sinais Brasileira, baseado em linguística e neurociência cognitivas. v. 1. São Paulo: Editora da Universidade de São Paulo, 2013.</w:t>
      </w:r>
    </w:p>
    <w:p>
      <w:pPr>
        <w:pStyle w:val="Normal"/>
        <w:ind w:left="915" w:right="164" w:firstLine="567"/>
        <w:rPr>
          <w:color w:val="EE0000"/>
          <w:sz w:val="20"/>
          <w:szCs w:val="20"/>
        </w:rPr>
      </w:pPr>
      <w:r>
        <w:rPr>
          <w:color w:val="EE0000"/>
          <w:sz w:val="20"/>
          <w:szCs w:val="20"/>
        </w:rPr>
        <w:t>FELIPE, T.; MONTEIRO, M. S. Libras em contexto: curso básico. 8 ed. Rio de Janeiro: WalPrint Gráfica e Editora, 2001. 187 p. Disponível em:&lt; https://</w:t>
      </w:r>
      <w:hyperlink r:id="rId7">
        <w:r>
          <w:rPr>
            <w:color w:val="EE0000"/>
            <w:sz w:val="20"/>
            <w:szCs w:val="20"/>
          </w:rPr>
          <w:t>www.librasgerais.com.br/materiais-inclusivos/downloads/libras-contexto-</w:t>
        </w:r>
      </w:hyperlink>
      <w:r>
        <w:rPr>
          <w:color w:val="EE0000"/>
          <w:sz w:val="20"/>
          <w:szCs w:val="20"/>
        </w:rPr>
        <w:t xml:space="preserve"> estudante.pdf&gt;. Acesso em: 05 de jan. 2020</w:t>
      </w:r>
    </w:p>
    <w:p>
      <w:pPr>
        <w:pStyle w:val="Normal"/>
        <w:ind w:left="915" w:right="171" w:firstLine="567"/>
        <w:rPr>
          <w:color w:val="EE0000"/>
          <w:sz w:val="20"/>
          <w:szCs w:val="20"/>
        </w:rPr>
      </w:pPr>
      <w:r>
        <w:rPr>
          <w:color w:val="EE0000"/>
          <w:sz w:val="20"/>
          <w:szCs w:val="20"/>
        </w:rPr>
        <w:t>LACERDA, C. B. F.; SANTOS, L. F. Tenho um aluno surdo, e agora? Introdução à Libras e educação de surdos. São Carlos: EdUFSCar, 2018.</w:t>
      </w:r>
    </w:p>
    <w:p>
      <w:pPr>
        <w:pStyle w:val="Normal"/>
        <w:ind w:left="915" w:firstLine="567"/>
        <w:rPr>
          <w:color w:val="EE0000"/>
          <w:sz w:val="20"/>
          <w:szCs w:val="20"/>
        </w:rPr>
      </w:pPr>
      <w:r>
        <w:rPr>
          <w:color w:val="EE0000"/>
          <w:sz w:val="20"/>
          <w:szCs w:val="20"/>
        </w:rPr>
        <w:t>PEREIRA, M. C. C.; VIEIRA, M.I.; CASPAR, P.; NAKASATO, R. Libras: conhecimento além dos sinais. São Paulo: Pearson Prentice Hall, 2011.</w:t>
      </w:r>
    </w:p>
    <w:p>
      <w:pPr>
        <w:pStyle w:val="Normal"/>
        <w:pBdr/>
        <w:ind w:left="915" w:firstLine="567"/>
        <w:rPr>
          <w:color w:val="EE0000"/>
          <w:sz w:val="20"/>
          <w:szCs w:val="20"/>
        </w:rPr>
      </w:pPr>
      <w:r>
        <w:rPr>
          <w:color w:val="EE0000"/>
          <w:sz w:val="20"/>
          <w:szCs w:val="20"/>
        </w:rPr>
        <w:t>QUADROS, R. M. Educação de surdos: a aquisição da linguagem. Porto Alegre: Artmed, 1997.</w:t>
      </w:r>
    </w:p>
    <w:p>
      <w:pPr>
        <w:pStyle w:val="Normal"/>
        <w:pBdr/>
        <w:ind w:left="915" w:firstLine="567"/>
        <w:rPr>
          <w:color w:val="EE0000"/>
          <w:sz w:val="20"/>
          <w:szCs w:val="20"/>
        </w:rPr>
      </w:pPr>
      <w:r>
        <w:rPr>
          <w:color w:val="EE0000"/>
          <w:sz w:val="20"/>
          <w:szCs w:val="20"/>
        </w:rPr>
      </w:r>
    </w:p>
    <w:p>
      <w:pPr>
        <w:pStyle w:val="Normal"/>
        <w:pBdr/>
        <w:ind w:left="915" w:firstLine="567"/>
        <w:rPr>
          <w:color w:val="EE0000"/>
          <w:sz w:val="20"/>
          <w:szCs w:val="20"/>
        </w:rPr>
      </w:pPr>
      <w:r>
        <w:rPr>
          <w:color w:val="EE0000"/>
          <w:sz w:val="20"/>
          <w:szCs w:val="20"/>
        </w:rPr>
        <w:t>INSERIR AS DISCIPLINAS PREVISTAS NA POLÍTICA DE FORMAÇÃO DE PROFESSORES</w:t>
      </w:r>
    </w:p>
    <w:p>
      <w:pPr>
        <w:pStyle w:val="Normal"/>
        <w:pBdr/>
        <w:ind w:left="915" w:firstLine="567"/>
        <w:rPr>
          <w:color w:val="EE0000"/>
          <w:sz w:val="20"/>
          <w:szCs w:val="20"/>
        </w:rPr>
      </w:pPr>
      <w:r>
        <w:rPr>
          <w:color w:val="EE0000"/>
          <w:sz w:val="20"/>
          <w:szCs w:val="20"/>
        </w:rPr>
      </w:r>
    </w:p>
    <w:p>
      <w:pPr>
        <w:pStyle w:val="Normal"/>
        <w:pBdr/>
        <w:ind w:left="555" w:hanging="360"/>
        <w:rPr>
          <w:color w:val="EE0000"/>
          <w:sz w:val="24"/>
          <w:szCs w:val="24"/>
        </w:rPr>
      </w:pPr>
      <w:r>
        <w:rPr>
          <w:color w:val="EE0000"/>
          <w:sz w:val="24"/>
          <w:szCs w:val="24"/>
        </w:rPr>
        <w:t>DADOS DAS DISCIPLINAS OPTATIVAS UNIFICADAS</w:t>
      </w:r>
    </w:p>
    <w:p>
      <w:pPr>
        <w:pStyle w:val="Normal"/>
        <w:spacing w:before="275" w:after="0"/>
        <w:ind w:left="555" w:hanging="360"/>
        <w:rPr>
          <w:b/>
          <w:b/>
          <w:color w:val="EE0000"/>
          <w:sz w:val="20"/>
          <w:szCs w:val="20"/>
        </w:rPr>
      </w:pPr>
      <w:r>
        <w:rPr>
          <w:b/>
          <w:color w:val="EE0000"/>
          <w:sz w:val="20"/>
          <w:szCs w:val="20"/>
        </w:rPr>
        <w:t>Direitos Humanos, Políticas Públicas e Globalização (32h teóricas)</w:t>
      </w:r>
    </w:p>
    <w:p>
      <w:pPr>
        <w:pStyle w:val="Normal"/>
        <w:spacing w:before="2" w:after="0"/>
        <w:ind w:left="555" w:right="166" w:hanging="360"/>
        <w:jc w:val="both"/>
        <w:rPr>
          <w:color w:val="EE0000"/>
          <w:sz w:val="20"/>
          <w:szCs w:val="20"/>
        </w:rPr>
      </w:pPr>
      <w:r>
        <w:rPr>
          <w:b/>
          <w:color w:val="EE0000"/>
          <w:sz w:val="20"/>
          <w:szCs w:val="20"/>
        </w:rPr>
        <w:t xml:space="preserve">Ementa: </w:t>
      </w:r>
      <w:r>
        <w:rPr>
          <w:color w:val="EE0000"/>
          <w:sz w:val="20"/>
          <w:szCs w:val="20"/>
        </w:rPr>
        <w:t>Processos históricos, sociais e políticos de criação e defesa dos direitos humanos. Definição de Direitos Humanos. Relações entre direitos humanos, políticas públicas e Globalização. Conceitos de ser humano, sujeito, pessoa jurídica, relações étnico-raciais, classes sociais, culturas, civilização, diferencialismo cultural e cidadania. Direitos humanos no Brasil. Educação e direitos humanos.</w:t>
      </w:r>
    </w:p>
    <w:p>
      <w:pPr>
        <w:pStyle w:val="Normal"/>
        <w:spacing w:before="4" w:after="0"/>
        <w:ind w:left="555" w:hanging="360"/>
        <w:rPr>
          <w:b/>
          <w:b/>
          <w:color w:val="EE0000"/>
          <w:sz w:val="20"/>
          <w:szCs w:val="20"/>
        </w:rPr>
      </w:pPr>
      <w:r>
        <w:rPr>
          <w:b/>
          <w:color w:val="EE0000"/>
          <w:sz w:val="20"/>
          <w:szCs w:val="20"/>
        </w:rPr>
        <w:t>Bibliografia Básica</w:t>
      </w:r>
    </w:p>
    <w:p>
      <w:pPr>
        <w:pStyle w:val="Normal"/>
        <w:ind w:left="915" w:firstLine="567"/>
        <w:rPr>
          <w:color w:val="EE0000"/>
          <w:sz w:val="20"/>
          <w:szCs w:val="20"/>
        </w:rPr>
      </w:pPr>
      <w:r>
        <w:rPr>
          <w:color w:val="EE0000"/>
          <w:sz w:val="20"/>
          <w:szCs w:val="20"/>
        </w:rPr>
        <w:t>BOBBIO, Norberto. A era dos direitos. Rio de Janeiro: Elsevier, 2004.</w:t>
      </w:r>
    </w:p>
    <w:p>
      <w:pPr>
        <w:pStyle w:val="Normal"/>
        <w:pBdr/>
        <w:ind w:left="915" w:firstLine="567"/>
        <w:rPr>
          <w:color w:val="EE0000"/>
          <w:sz w:val="20"/>
          <w:szCs w:val="20"/>
        </w:rPr>
      </w:pPr>
      <w:r>
        <w:rPr>
          <w:color w:val="EE0000"/>
          <w:sz w:val="20"/>
          <w:szCs w:val="20"/>
        </w:rPr>
        <w:t>DOUZINAS, Costas. O Fim dos Direitos Humanos. Editora Unisinos, São Leopoldo/RS, 2009.</w:t>
      </w:r>
    </w:p>
    <w:p>
      <w:pPr>
        <w:pStyle w:val="Normal"/>
        <w:ind w:left="915" w:firstLine="567"/>
        <w:rPr>
          <w:color w:val="EE0000"/>
          <w:sz w:val="20"/>
          <w:szCs w:val="20"/>
        </w:rPr>
      </w:pPr>
      <w:r>
        <w:rPr>
          <w:color w:val="EE0000"/>
          <w:sz w:val="20"/>
          <w:szCs w:val="20"/>
        </w:rPr>
        <w:t>SANTOS, Boaventura de Sousa. Na Oficina do sociólogo artesão: aulas 2011-2016. São Paulo: Cortez, 2018.</w:t>
      </w:r>
    </w:p>
    <w:p>
      <w:pPr>
        <w:pStyle w:val="Normal"/>
        <w:ind w:left="555" w:hanging="360"/>
        <w:rPr>
          <w:b/>
          <w:b/>
          <w:color w:val="EE0000"/>
          <w:sz w:val="20"/>
          <w:szCs w:val="20"/>
        </w:rPr>
      </w:pPr>
      <w:r>
        <w:rPr>
          <w:b/>
          <w:color w:val="EE0000"/>
          <w:sz w:val="20"/>
          <w:szCs w:val="20"/>
        </w:rPr>
        <w:t>Bibliografia Complementar</w:t>
      </w:r>
    </w:p>
    <w:p>
      <w:pPr>
        <w:pStyle w:val="Normal"/>
        <w:spacing w:before="2" w:after="0"/>
        <w:ind w:left="915" w:firstLine="567"/>
        <w:rPr>
          <w:color w:val="EE0000"/>
          <w:sz w:val="20"/>
          <w:szCs w:val="20"/>
        </w:rPr>
      </w:pPr>
      <w:r>
        <w:rPr>
          <w:color w:val="EE0000"/>
          <w:sz w:val="20"/>
          <w:szCs w:val="20"/>
        </w:rPr>
        <w:t>ALVES, José Augusto Lindgren. Os direitos humanos como tema global. São Paulo: Perspectiva, 2011.</w:t>
      </w:r>
    </w:p>
    <w:p>
      <w:pPr>
        <w:pStyle w:val="Normal"/>
        <w:ind w:left="915" w:right="191" w:firstLine="567"/>
        <w:rPr>
          <w:color w:val="EE0000"/>
          <w:sz w:val="20"/>
          <w:szCs w:val="20"/>
        </w:rPr>
      </w:pPr>
      <w:r>
        <w:rPr>
          <w:color w:val="EE0000"/>
          <w:sz w:val="20"/>
          <w:szCs w:val="20"/>
        </w:rPr>
        <w:t>CANDAU, Vera Maria; SACAVINO, Susana (org.). Educação em Direitos Humanos: temas, questões e propostas; Rio de Janeiro: DP&amp;Alli, 2008.</w:t>
      </w:r>
    </w:p>
    <w:p>
      <w:pPr>
        <w:pStyle w:val="Normal"/>
        <w:ind w:left="915" w:firstLine="567"/>
        <w:rPr>
          <w:color w:val="EE0000"/>
          <w:sz w:val="20"/>
          <w:szCs w:val="20"/>
        </w:rPr>
      </w:pPr>
      <w:r>
        <w:rPr>
          <w:color w:val="EE0000"/>
          <w:sz w:val="20"/>
          <w:szCs w:val="20"/>
        </w:rPr>
        <w:t>COMPARATO, Fábio Konder. A afirmação histórica dos direitos humanos. São Paulo: Saraiva, 2019.</w:t>
      </w:r>
    </w:p>
    <w:p>
      <w:pPr>
        <w:pStyle w:val="Normal"/>
        <w:spacing w:before="2" w:after="0"/>
        <w:ind w:left="915" w:firstLine="567"/>
        <w:rPr>
          <w:color w:val="EE0000"/>
          <w:sz w:val="20"/>
          <w:szCs w:val="20"/>
        </w:rPr>
      </w:pPr>
      <w:r>
        <w:rPr>
          <w:color w:val="EE0000"/>
          <w:sz w:val="20"/>
          <w:szCs w:val="20"/>
        </w:rPr>
        <w:t>ROUSSEAU, Jean-Jacques. Discurso sobre a origem e os fundamentos da desigualdade entre os homens. Porto Alegre: L&amp;PM, 2012.</w:t>
      </w:r>
    </w:p>
    <w:p>
      <w:pPr>
        <w:pStyle w:val="Normal"/>
        <w:spacing w:before="2" w:after="0"/>
        <w:ind w:left="915" w:right="191" w:firstLine="567"/>
        <w:rPr>
          <w:color w:val="EE0000"/>
          <w:sz w:val="20"/>
          <w:szCs w:val="20"/>
        </w:rPr>
      </w:pPr>
      <w:r>
        <w:rPr>
          <w:color w:val="EE0000"/>
          <w:sz w:val="20"/>
          <w:szCs w:val="20"/>
        </w:rPr>
        <w:t>SANTOS, Boaventura de Sousa; CHAUÍ, Marilena. Direitos humanos, democracia e desenvolvimento. São Paulo: Cortez, 2017.</w:t>
      </w:r>
    </w:p>
    <w:p>
      <w:pPr>
        <w:pStyle w:val="Normal"/>
        <w:pBdr/>
        <w:spacing w:before="2" w:after="0"/>
        <w:ind w:left="915" w:firstLine="567"/>
        <w:rPr>
          <w:color w:val="EE0000"/>
          <w:sz w:val="20"/>
          <w:szCs w:val="20"/>
        </w:rPr>
      </w:pPr>
      <w:r>
        <w:rPr>
          <w:color w:val="EE0000"/>
          <w:sz w:val="20"/>
          <w:szCs w:val="20"/>
        </w:rPr>
      </w:r>
    </w:p>
    <w:p>
      <w:pPr>
        <w:pStyle w:val="Normal"/>
        <w:ind w:left="555" w:hanging="360"/>
        <w:rPr>
          <w:b/>
          <w:b/>
          <w:color w:val="EE0000"/>
          <w:sz w:val="20"/>
          <w:szCs w:val="20"/>
        </w:rPr>
      </w:pPr>
      <w:r>
        <w:rPr>
          <w:b/>
          <w:color w:val="EE0000"/>
          <w:sz w:val="20"/>
          <w:szCs w:val="20"/>
        </w:rPr>
        <w:t>História e Cultura Afro-Brasileira, Africana e Indígena (64h teóricas)</w:t>
      </w:r>
    </w:p>
    <w:p>
      <w:pPr>
        <w:pStyle w:val="Normal"/>
        <w:spacing w:before="2" w:after="0"/>
        <w:ind w:left="555" w:right="167" w:hanging="360"/>
        <w:jc w:val="both"/>
        <w:rPr>
          <w:color w:val="EE0000"/>
          <w:sz w:val="20"/>
          <w:szCs w:val="20"/>
        </w:rPr>
      </w:pPr>
      <w:r>
        <w:rPr>
          <w:b/>
          <w:color w:val="EE0000"/>
          <w:sz w:val="20"/>
          <w:szCs w:val="20"/>
        </w:rPr>
        <w:t xml:space="preserve">Ementa: </w:t>
      </w:r>
      <w:r>
        <w:rPr>
          <w:color w:val="EE0000"/>
          <w:sz w:val="20"/>
          <w:szCs w:val="20"/>
        </w:rPr>
        <w:t>Diáspora africana e formação socioeconômica, cultural e política da sociedade brasileira. Elementos culturais dos povos africanos, afro-brasileiros e indígenas. Conceitos de gênero, raça, etnia, identidade, classes sociais, políticas públicas, ações afirmativas. Contribuições da população africana, afrodescendente e indígena para a formação histórico/social da sociedade brasileira.</w:t>
      </w:r>
    </w:p>
    <w:p>
      <w:pPr>
        <w:pStyle w:val="Normal"/>
        <w:spacing w:before="4" w:after="0"/>
        <w:ind w:left="555" w:hanging="360"/>
        <w:rPr>
          <w:b/>
          <w:b/>
          <w:color w:val="EE0000"/>
          <w:sz w:val="20"/>
          <w:szCs w:val="20"/>
        </w:rPr>
      </w:pPr>
      <w:r>
        <w:rPr>
          <w:b/>
          <w:color w:val="EE0000"/>
          <w:sz w:val="20"/>
          <w:szCs w:val="20"/>
        </w:rPr>
        <w:t>Bibliografia Básica</w:t>
      </w:r>
    </w:p>
    <w:p>
      <w:pPr>
        <w:pStyle w:val="Normal"/>
        <w:ind w:left="915" w:right="191" w:firstLine="567"/>
        <w:rPr>
          <w:color w:val="EE0000"/>
          <w:sz w:val="20"/>
          <w:szCs w:val="20"/>
        </w:rPr>
      </w:pPr>
      <w:r>
        <w:rPr>
          <w:color w:val="EE0000"/>
          <w:sz w:val="20"/>
          <w:szCs w:val="20"/>
        </w:rPr>
        <w:t>ALENCASTRO, L. F. O trato dos viventes: formação do Brasil no Atlântico Sul. São Paulo: Companhia das Letras, 2000.</w:t>
      </w:r>
    </w:p>
    <w:p>
      <w:pPr>
        <w:pStyle w:val="Normal"/>
        <w:ind w:left="915" w:right="745" w:firstLine="567"/>
        <w:rPr>
          <w:color w:val="EE0000"/>
          <w:sz w:val="20"/>
          <w:szCs w:val="20"/>
        </w:rPr>
      </w:pPr>
      <w:r>
        <w:rPr>
          <w:color w:val="EE0000"/>
          <w:sz w:val="20"/>
          <w:szCs w:val="20"/>
        </w:rPr>
        <w:t xml:space="preserve">ALMEIDA, Maria Regina Celestino de. Os índios na história do Brasil. Rio de Janeiro: Editora FGV, 2010. </w:t>
      </w:r>
    </w:p>
    <w:p>
      <w:pPr>
        <w:pStyle w:val="Normal"/>
        <w:ind w:left="915" w:right="745" w:firstLine="567"/>
        <w:rPr>
          <w:color w:val="EE0000"/>
          <w:sz w:val="20"/>
          <w:szCs w:val="20"/>
        </w:rPr>
      </w:pPr>
      <w:r>
        <w:rPr>
          <w:color w:val="EE0000"/>
          <w:sz w:val="20"/>
          <w:szCs w:val="20"/>
        </w:rPr>
        <w:t>MACEDO, José Rivair. História da África. São Paulo: Contexto, 2017.</w:t>
      </w:r>
    </w:p>
    <w:p>
      <w:pPr>
        <w:pStyle w:val="Normal"/>
        <w:ind w:left="555" w:hanging="360"/>
        <w:rPr>
          <w:b/>
          <w:b/>
          <w:color w:val="EE0000"/>
          <w:sz w:val="20"/>
          <w:szCs w:val="20"/>
        </w:rPr>
      </w:pPr>
      <w:r>
        <w:rPr>
          <w:b/>
          <w:color w:val="EE0000"/>
          <w:sz w:val="20"/>
          <w:szCs w:val="20"/>
        </w:rPr>
        <w:t>Bibliografia Complementar</w:t>
      </w:r>
    </w:p>
    <w:p>
      <w:pPr>
        <w:pStyle w:val="Normal"/>
        <w:ind w:left="915" w:right="931" w:firstLine="567"/>
        <w:rPr>
          <w:color w:val="EE0000"/>
          <w:sz w:val="20"/>
          <w:szCs w:val="20"/>
        </w:rPr>
      </w:pPr>
      <w:r>
        <w:rPr>
          <w:color w:val="EE0000"/>
          <w:sz w:val="20"/>
          <w:szCs w:val="20"/>
        </w:rPr>
        <w:t>FANON, Frantz. Pele Negra, Mascaras Brancas. Renato da Silveira (Trad.). Salvador: EDUFBA, 2008. DAVIS, Angela. Mulheres, raça e classe. São Paulo: Boitempo, 2016.</w:t>
      </w:r>
    </w:p>
    <w:p>
      <w:pPr>
        <w:pStyle w:val="Normal"/>
        <w:spacing w:before="2" w:after="0"/>
        <w:ind w:left="915" w:right="745" w:firstLine="567"/>
        <w:rPr>
          <w:color w:val="EE0000"/>
          <w:sz w:val="20"/>
          <w:szCs w:val="20"/>
        </w:rPr>
      </w:pPr>
      <w:r>
        <w:rPr>
          <w:color w:val="EE0000"/>
          <w:sz w:val="20"/>
          <w:szCs w:val="20"/>
        </w:rPr>
        <w:t>KI- ZERBO, Joseph (Editor). História geral da África I: metodologia e pré-história da África. 2° edição revista. Brasília: UNESCO, 2010.</w:t>
      </w:r>
    </w:p>
    <w:p>
      <w:pPr>
        <w:pStyle w:val="Normal"/>
        <w:spacing w:before="2" w:after="0"/>
        <w:ind w:left="915" w:right="250" w:firstLine="567"/>
        <w:rPr>
          <w:color w:val="EE0000"/>
          <w:sz w:val="20"/>
          <w:szCs w:val="20"/>
        </w:rPr>
      </w:pPr>
      <w:r>
        <w:rPr>
          <w:color w:val="EE0000"/>
          <w:sz w:val="20"/>
          <w:szCs w:val="20"/>
        </w:rPr>
        <w:t>FERNANDES, Evandro; CINEL, Nora Cecília Boccacci; LOPES, Véra Neusa (orgs). Da África aos indígenas do Brasil. Porto Alegre: UFRGS, 2016.</w:t>
      </w:r>
    </w:p>
    <w:p>
      <w:pPr>
        <w:pStyle w:val="Normal"/>
        <w:pBdr/>
        <w:ind w:left="915" w:firstLine="567"/>
        <w:rPr>
          <w:color w:val="EE0000"/>
          <w:sz w:val="20"/>
          <w:szCs w:val="20"/>
        </w:rPr>
      </w:pPr>
      <w:r>
        <w:rPr>
          <w:color w:val="EE0000"/>
          <w:sz w:val="20"/>
          <w:szCs w:val="20"/>
        </w:rPr>
        <w:t>HALL, Stuart. Da Diáspora. Identidades e Mediações culturais. Trad. de Adelaine La Guardia Resende, Ana Carolina Escosteguy, Claudia Alvares, Francisco Rudger, Sayonara Amaral. Belo Horizonte: UFMG/ Brasília: Representação da UNESCO no Brasil, 2003.</w:t>
      </w:r>
    </w:p>
    <w:p>
      <w:pPr>
        <w:pStyle w:val="Normal"/>
        <w:pBdr/>
        <w:ind w:left="915" w:firstLine="567"/>
        <w:rPr>
          <w:color w:val="EE0000"/>
          <w:sz w:val="20"/>
          <w:szCs w:val="20"/>
        </w:rPr>
      </w:pPr>
      <w:r>
        <w:rPr>
          <w:color w:val="EE0000"/>
          <w:sz w:val="20"/>
          <w:szCs w:val="20"/>
        </w:rPr>
      </w:r>
    </w:p>
    <w:p>
      <w:pPr>
        <w:pStyle w:val="Normal"/>
        <w:ind w:left="555" w:hanging="360"/>
        <w:rPr>
          <w:b/>
          <w:b/>
          <w:color w:val="EE0000"/>
          <w:sz w:val="20"/>
          <w:szCs w:val="20"/>
        </w:rPr>
      </w:pPr>
      <w:r>
        <w:rPr>
          <w:b/>
          <w:color w:val="EE0000"/>
          <w:sz w:val="20"/>
          <w:szCs w:val="20"/>
        </w:rPr>
        <w:t>Libras II – Língua Brasileira de Sinais II (64h: 32 h teóricas e 32 h práticas)</w:t>
      </w:r>
    </w:p>
    <w:p>
      <w:pPr>
        <w:pStyle w:val="Normal"/>
        <w:ind w:left="555" w:right="165" w:hanging="360"/>
        <w:jc w:val="both"/>
        <w:rPr>
          <w:color w:val="EE0000"/>
          <w:sz w:val="20"/>
          <w:szCs w:val="20"/>
        </w:rPr>
      </w:pPr>
      <w:r>
        <w:rPr>
          <w:b/>
          <w:color w:val="EE0000"/>
          <w:sz w:val="20"/>
          <w:szCs w:val="20"/>
        </w:rPr>
        <w:t xml:space="preserve">Ementa: </w:t>
      </w:r>
      <w:r>
        <w:rPr>
          <w:color w:val="EE0000"/>
          <w:sz w:val="20"/>
          <w:szCs w:val="20"/>
        </w:rPr>
        <w:t>Introdução aos aspectos linguísticos na Língua de Sinais. Aspectos históricos da Língua de Sinais e sua importância: cultura e identidade surda e surda indígena. Introdução aos gêneros textuais em Libras: poesia, piada e narrativas. Prática de compreensão e produção de Libras.</w:t>
      </w:r>
    </w:p>
    <w:p>
      <w:pPr>
        <w:pStyle w:val="Normal"/>
        <w:spacing w:before="4" w:after="0"/>
        <w:ind w:left="555" w:hanging="360"/>
        <w:rPr>
          <w:b/>
          <w:b/>
          <w:color w:val="EE0000"/>
          <w:sz w:val="20"/>
          <w:szCs w:val="20"/>
        </w:rPr>
      </w:pPr>
      <w:r>
        <w:rPr>
          <w:b/>
          <w:color w:val="EE0000"/>
          <w:sz w:val="20"/>
          <w:szCs w:val="20"/>
        </w:rPr>
        <w:t>Bibliografia básica</w:t>
      </w:r>
    </w:p>
    <w:p>
      <w:pPr>
        <w:pStyle w:val="Normal"/>
        <w:ind w:left="915" w:right="164" w:firstLine="567"/>
        <w:rPr>
          <w:color w:val="EE0000"/>
          <w:sz w:val="20"/>
          <w:szCs w:val="20"/>
        </w:rPr>
      </w:pPr>
      <w:r>
        <w:rPr>
          <w:color w:val="EE0000"/>
          <w:sz w:val="20"/>
          <w:szCs w:val="20"/>
        </w:rPr>
        <w:t>FELIPE, T.; MONTEIRO, M. S. Libras em contexto: curso básico. 8 ed. Rio de Janeiro: WalPrint Gráfica e Editora, 2001. 187 p. Disponível em:&lt; https://</w:t>
      </w:r>
      <w:hyperlink r:id="rId8">
        <w:r>
          <w:rPr>
            <w:color w:val="EE0000"/>
            <w:sz w:val="20"/>
            <w:szCs w:val="20"/>
          </w:rPr>
          <w:t>www.librasgerais.com.br/materiais-inclusivos/downloads/libras-contexto-</w:t>
        </w:r>
      </w:hyperlink>
      <w:r>
        <w:rPr>
          <w:color w:val="EE0000"/>
          <w:sz w:val="20"/>
          <w:szCs w:val="20"/>
        </w:rPr>
        <w:t xml:space="preserve"> estudante.pdf&gt;. </w:t>
      </w:r>
    </w:p>
    <w:p>
      <w:pPr>
        <w:pStyle w:val="Normal"/>
        <w:spacing w:before="4" w:after="0"/>
        <w:ind w:left="915" w:firstLine="567"/>
        <w:rPr>
          <w:color w:val="EE0000"/>
          <w:sz w:val="20"/>
          <w:szCs w:val="20"/>
        </w:rPr>
      </w:pPr>
      <w:r>
        <w:rPr>
          <w:color w:val="EE0000"/>
          <w:sz w:val="20"/>
          <w:szCs w:val="20"/>
        </w:rPr>
        <w:t>SKILIAR (Org), A surdez: um olhar sobre as diferenças. Porto Alegre: Mediação. 1998.</w:t>
      </w:r>
    </w:p>
    <w:p>
      <w:pPr>
        <w:pStyle w:val="Normal"/>
        <w:ind w:left="555" w:hanging="360"/>
        <w:rPr>
          <w:b/>
          <w:b/>
          <w:color w:val="EE0000"/>
          <w:sz w:val="20"/>
          <w:szCs w:val="20"/>
        </w:rPr>
      </w:pPr>
      <w:r>
        <w:rPr>
          <w:b/>
          <w:color w:val="EE0000"/>
          <w:sz w:val="20"/>
          <w:szCs w:val="20"/>
        </w:rPr>
        <w:t>Bibliografia Complementar</w:t>
      </w:r>
    </w:p>
    <w:p>
      <w:pPr>
        <w:pStyle w:val="Normal"/>
        <w:spacing w:before="2" w:after="0"/>
        <w:ind w:left="915" w:firstLine="567"/>
        <w:rPr>
          <w:color w:val="EE0000"/>
          <w:sz w:val="20"/>
          <w:szCs w:val="20"/>
        </w:rPr>
      </w:pPr>
      <w:r>
        <w:rPr>
          <w:color w:val="EE0000"/>
          <w:sz w:val="20"/>
          <w:szCs w:val="20"/>
        </w:rPr>
        <w:t>STROBEL, K. As imagens do outro sobre a cultura surda. Florianópolis: Ed. Da UFSC, 2008.</w:t>
      </w:r>
    </w:p>
    <w:p>
      <w:pPr>
        <w:pStyle w:val="Normal"/>
        <w:ind w:left="915" w:right="170" w:firstLine="567"/>
        <w:rPr>
          <w:color w:val="EE0000"/>
          <w:sz w:val="20"/>
          <w:szCs w:val="20"/>
        </w:rPr>
      </w:pPr>
      <w:r>
        <w:rPr>
          <w:color w:val="EE0000"/>
          <w:sz w:val="20"/>
          <w:szCs w:val="20"/>
        </w:rPr>
        <w:t>CAPOVILLA, F. C., RAPHAEL, W. D., MAURICIO, A. C. L. Novo deit-Libras: Dicionário Enciclopédico Ilustrado Trilíngüe da Língua de Sinais Brasileira, baseado em linguística e neurociência cognitivas. v. 2. São Paulo: Editora da Universidade de São Paulo, 2013.</w:t>
      </w:r>
    </w:p>
    <w:p>
      <w:pPr>
        <w:pStyle w:val="Normal"/>
        <w:spacing w:before="4" w:after="0"/>
        <w:ind w:left="915" w:right="160" w:firstLine="567"/>
        <w:rPr>
          <w:color w:val="EE0000"/>
          <w:sz w:val="20"/>
          <w:szCs w:val="20"/>
        </w:rPr>
      </w:pPr>
      <w:r>
        <w:rPr>
          <w:color w:val="EE0000"/>
          <w:sz w:val="20"/>
          <w:szCs w:val="20"/>
        </w:rPr>
        <w:t>MOURÃO, C. H. N. Literatura surda: produções culturais de surdos em língua de sinais. 132f. Dissertação (Mestrado em Educação), Porto Alegre: UFRG, 2011. Disponível em: https://</w:t>
      </w:r>
      <w:hyperlink r:id="rId9">
        <w:r>
          <w:rPr>
            <w:color w:val="EE0000"/>
            <w:sz w:val="20"/>
            <w:szCs w:val="20"/>
          </w:rPr>
          <w:t>www.lume.ufrgs.br/handle/10183/32311.</w:t>
        </w:r>
      </w:hyperlink>
      <w:r>
        <w:rPr>
          <w:color w:val="EE0000"/>
          <w:sz w:val="20"/>
          <w:szCs w:val="20"/>
        </w:rPr>
        <w:t xml:space="preserve"> Acesso em: 05 de jan. 2020.</w:t>
      </w:r>
    </w:p>
    <w:p>
      <w:pPr>
        <w:pStyle w:val="Normal"/>
        <w:spacing w:before="2" w:after="0"/>
        <w:ind w:left="915" w:firstLine="567"/>
        <w:rPr>
          <w:color w:val="EE0000"/>
          <w:sz w:val="20"/>
          <w:szCs w:val="20"/>
        </w:rPr>
      </w:pPr>
      <w:r>
        <w:rPr>
          <w:color w:val="EE0000"/>
          <w:sz w:val="20"/>
          <w:szCs w:val="20"/>
        </w:rPr>
        <w:t xml:space="preserve">QUADROS, R. M. de &amp; KARNOPP, L. Língua de sinais brasileira: estudos lingüísticos. ArtMed: Porto Alegre, 2004. </w:t>
      </w:r>
    </w:p>
    <w:p>
      <w:pPr>
        <w:pStyle w:val="Normal"/>
        <w:spacing w:before="2" w:after="0"/>
        <w:ind w:left="915" w:firstLine="567"/>
        <w:rPr>
          <w:color w:val="EE0000"/>
          <w:sz w:val="20"/>
          <w:szCs w:val="20"/>
        </w:rPr>
      </w:pPr>
      <w:r>
        <w:rPr>
          <w:color w:val="EE0000"/>
          <w:sz w:val="20"/>
          <w:szCs w:val="20"/>
        </w:rPr>
        <w:t>SACKS, O. Vendo vozes: uma viagem ao mundo dos surdos. Trad. Laura Teixeira Motta. São Paulo: Companhia das Letras, 2010.</w:t>
      </w:r>
    </w:p>
    <w:p>
      <w:pPr>
        <w:pStyle w:val="Normal"/>
        <w:spacing w:before="5" w:after="0"/>
        <w:ind w:left="915" w:right="250" w:firstLine="567"/>
        <w:rPr>
          <w:color w:val="EE0000"/>
          <w:sz w:val="20"/>
          <w:szCs w:val="20"/>
        </w:rPr>
      </w:pPr>
      <w:r>
        <w:rPr>
          <w:color w:val="EE0000"/>
          <w:sz w:val="20"/>
          <w:szCs w:val="20"/>
        </w:rPr>
        <w:t>SILVA, I. F.; REIS, F.; GAUTO, P. R.; SILVA, S. G. L. PATERNO, U. Aprendendo Libras como segunda língua: nível básico. Palhoça: IFSC- Campus Palhoça Bilíngue, [201-]. Disponível em:</w:t>
      </w:r>
    </w:p>
    <w:p>
      <w:pPr>
        <w:pStyle w:val="Normal"/>
        <w:spacing w:before="1" w:after="0"/>
        <w:ind w:left="915" w:right="745" w:firstLine="567"/>
        <w:rPr>
          <w:color w:val="EE0000"/>
          <w:sz w:val="20"/>
          <w:szCs w:val="20"/>
        </w:rPr>
      </w:pPr>
      <w:r>
        <w:rPr>
          <w:color w:val="EE0000"/>
          <w:sz w:val="20"/>
          <w:szCs w:val="20"/>
        </w:rPr>
        <w:t>&lt;</w:t>
      </w:r>
      <w:hyperlink r:id="rId10">
        <w:r>
          <w:rPr>
            <w:color w:val="EE0000"/>
            <w:sz w:val="20"/>
            <w:szCs w:val="20"/>
          </w:rPr>
          <w:t>http://palhoca.ifsc.edu.br/materiais/apostila-libras-basico/Apostila_Libras_Basico_IFSC-Palhoca-Bilingue.pdf</w:t>
        </w:r>
      </w:hyperlink>
      <w:r>
        <w:rPr>
          <w:color w:val="EE0000"/>
          <w:sz w:val="20"/>
          <w:szCs w:val="20"/>
        </w:rPr>
        <w:t>&gt;. Acesso em: 01 jun. 2020.</w:t>
      </w:r>
    </w:p>
    <w:p>
      <w:pPr>
        <w:pStyle w:val="Normal"/>
        <w:spacing w:before="1" w:after="0"/>
        <w:ind w:left="915" w:right="745" w:firstLine="567"/>
        <w:rPr>
          <w:color w:val="EE0000"/>
          <w:sz w:val="20"/>
          <w:szCs w:val="20"/>
        </w:rPr>
      </w:pPr>
      <w:r>
        <w:rPr>
          <w:color w:val="EE0000"/>
          <w:sz w:val="20"/>
          <w:szCs w:val="20"/>
        </w:rPr>
      </w:r>
    </w:p>
    <w:p>
      <w:pPr>
        <w:pStyle w:val="Normal"/>
        <w:ind w:left="555" w:hanging="360"/>
        <w:rPr>
          <w:b/>
          <w:b/>
          <w:color w:val="EE0000"/>
          <w:sz w:val="20"/>
          <w:szCs w:val="20"/>
        </w:rPr>
      </w:pPr>
      <w:r>
        <w:rPr>
          <w:b/>
          <w:color w:val="EE0000"/>
          <w:sz w:val="20"/>
          <w:szCs w:val="20"/>
        </w:rPr>
        <w:t>Libras III – Língua Brasileira de Sinais III (64h: 32 h teóricas e 32 h práticas)</w:t>
      </w:r>
    </w:p>
    <w:p>
      <w:pPr>
        <w:pStyle w:val="Normal"/>
        <w:ind w:left="555" w:hanging="360"/>
        <w:jc w:val="both"/>
        <w:rPr>
          <w:color w:val="EE0000"/>
          <w:sz w:val="20"/>
          <w:szCs w:val="20"/>
        </w:rPr>
      </w:pPr>
      <w:r>
        <w:rPr>
          <w:color w:val="EE0000"/>
          <w:sz w:val="20"/>
          <w:szCs w:val="20"/>
        </w:rPr>
        <w:t>Ementa: Intensificação ao uso de classificadores em Libras. Uso de expressões faciais, gramaticais e afetivas. Desenvolvimento de práticas de compreensão e produção em Libras na perspectiva da cultura e identidade Surda.</w:t>
      </w:r>
    </w:p>
    <w:p>
      <w:pPr>
        <w:pStyle w:val="Normal"/>
        <w:ind w:left="555" w:hanging="360"/>
        <w:rPr>
          <w:b/>
          <w:b/>
          <w:color w:val="EE0000"/>
          <w:sz w:val="20"/>
          <w:szCs w:val="20"/>
        </w:rPr>
      </w:pPr>
      <w:r>
        <w:rPr>
          <w:b/>
          <w:color w:val="EE0000"/>
          <w:sz w:val="20"/>
          <w:szCs w:val="20"/>
        </w:rPr>
        <w:t>Bibliografia Básica</w:t>
      </w:r>
    </w:p>
    <w:p>
      <w:pPr>
        <w:pStyle w:val="Normal"/>
        <w:pBdr/>
        <w:tabs>
          <w:tab w:val="clear" w:pos="708"/>
          <w:tab w:val="left" w:pos="567" w:leader="none"/>
        </w:tabs>
        <w:ind w:left="915" w:firstLine="567"/>
        <w:rPr>
          <w:color w:val="EE0000"/>
          <w:sz w:val="20"/>
          <w:szCs w:val="20"/>
        </w:rPr>
      </w:pPr>
      <w:r>
        <w:rPr>
          <w:color w:val="EE0000"/>
          <w:sz w:val="20"/>
          <w:szCs w:val="20"/>
        </w:rPr>
        <w:t>BRITO, L. F. Por uma gramática de língua de sinais. Rio de Janeiro: Tempo Brasileiro, 2010.</w:t>
      </w:r>
    </w:p>
    <w:p>
      <w:pPr>
        <w:pStyle w:val="Normal"/>
        <w:pBdr/>
        <w:tabs>
          <w:tab w:val="clear" w:pos="708"/>
          <w:tab w:val="left" w:pos="567" w:leader="none"/>
        </w:tabs>
        <w:ind w:left="915" w:firstLine="567"/>
        <w:rPr>
          <w:color w:val="EE0000"/>
          <w:sz w:val="20"/>
          <w:szCs w:val="20"/>
        </w:rPr>
      </w:pPr>
      <w:r>
        <w:rPr>
          <w:color w:val="EE0000"/>
          <w:sz w:val="20"/>
          <w:szCs w:val="20"/>
        </w:rPr>
        <w:t>PEREIRA, M. C. C. (Org) Libras: conhecimento além dos sinais. São Paulo: Pearson, 2011.</w:t>
      </w:r>
    </w:p>
    <w:p>
      <w:pPr>
        <w:pStyle w:val="Normal"/>
        <w:pBdr/>
        <w:tabs>
          <w:tab w:val="clear" w:pos="708"/>
          <w:tab w:val="left" w:pos="567" w:leader="none"/>
        </w:tabs>
        <w:ind w:left="915" w:firstLine="567"/>
        <w:rPr>
          <w:color w:val="EE0000"/>
          <w:sz w:val="20"/>
          <w:szCs w:val="20"/>
        </w:rPr>
      </w:pPr>
      <w:r>
        <w:rPr>
          <w:color w:val="EE0000"/>
          <w:sz w:val="20"/>
          <w:szCs w:val="20"/>
        </w:rPr>
        <w:t>QUADROS, R. M.; KARNOPP, L. Língua de sinais brasileira: estudos linguísticos. Porto Alegre: ARTMED, 2004.</w:t>
      </w:r>
    </w:p>
    <w:p>
      <w:pPr>
        <w:pStyle w:val="Normal"/>
        <w:spacing w:before="2" w:after="0"/>
        <w:ind w:left="555" w:hanging="360"/>
        <w:rPr>
          <w:b/>
          <w:b/>
          <w:color w:val="EE0000"/>
          <w:sz w:val="20"/>
          <w:szCs w:val="20"/>
        </w:rPr>
      </w:pPr>
      <w:r>
        <w:rPr>
          <w:b/>
          <w:color w:val="EE0000"/>
          <w:sz w:val="20"/>
          <w:szCs w:val="20"/>
        </w:rPr>
        <w:t>Bibliografia Complementar</w:t>
      </w:r>
    </w:p>
    <w:p>
      <w:pPr>
        <w:pStyle w:val="Normal"/>
        <w:ind w:left="915" w:right="191" w:firstLine="567"/>
        <w:rPr>
          <w:color w:val="EE0000"/>
          <w:sz w:val="20"/>
          <w:szCs w:val="20"/>
        </w:rPr>
      </w:pPr>
      <w:r>
        <w:rPr>
          <w:color w:val="EE0000"/>
          <w:sz w:val="20"/>
          <w:szCs w:val="20"/>
        </w:rPr>
        <w:t>FELIPE, T.; MONTEIRO, M. S. Libras em contexto: curso básico. 8 ed. Rio de Janeiro: WalPrint Gráfica e Editora, 2001. 187p. Disponível em:&lt; https://</w:t>
      </w:r>
      <w:hyperlink r:id="rId11">
        <w:r>
          <w:rPr>
            <w:color w:val="EE0000"/>
            <w:sz w:val="20"/>
            <w:szCs w:val="20"/>
          </w:rPr>
          <w:t>www.librasgerais.com.br/materiais-inclusivos/downloads/libras-contexto-</w:t>
        </w:r>
      </w:hyperlink>
      <w:r>
        <w:rPr>
          <w:color w:val="EE0000"/>
          <w:sz w:val="20"/>
          <w:szCs w:val="20"/>
        </w:rPr>
        <w:t xml:space="preserve"> estudante.pdf&gt;. Acesso em: 01 de junho de 2020</w:t>
      </w:r>
    </w:p>
    <w:p>
      <w:pPr>
        <w:pStyle w:val="Normal"/>
        <w:ind w:left="915" w:right="191" w:firstLine="567"/>
        <w:rPr>
          <w:color w:val="EE0000"/>
          <w:sz w:val="20"/>
          <w:szCs w:val="20"/>
        </w:rPr>
      </w:pPr>
      <w:r>
        <w:rPr>
          <w:color w:val="EE0000"/>
          <w:sz w:val="20"/>
          <w:szCs w:val="20"/>
        </w:rPr>
        <w:t>LACERDA, C. B. F. Intérprete de Libras em atuação na educação infantil e no ensino fundamental. Porto Alegre: Editora Mediação, 2014.</w:t>
      </w:r>
    </w:p>
    <w:p>
      <w:pPr>
        <w:pStyle w:val="Normal"/>
        <w:ind w:left="915" w:right="191" w:firstLine="567"/>
        <w:rPr>
          <w:color w:val="EE0000"/>
          <w:sz w:val="20"/>
          <w:szCs w:val="20"/>
        </w:rPr>
      </w:pPr>
      <w:r>
        <w:rPr>
          <w:color w:val="EE0000"/>
          <w:sz w:val="20"/>
          <w:szCs w:val="20"/>
        </w:rPr>
        <w:t>QUADROS, R. M. O tradutor e intérprete de língua brasileira de sinais e língua portuguesa. Secretaria de Educação Especial. Brasília: MEC: SEESP, 2004. Disponível em:&lt;</w:t>
      </w:r>
      <w:hyperlink r:id="rId12">
        <w:r>
          <w:rPr>
            <w:color w:val="EE0000"/>
            <w:sz w:val="20"/>
            <w:szCs w:val="20"/>
          </w:rPr>
          <w:t>http://portal.mec.gov.br/seesp/arquivos/pdf/tradutorlibras.pdf</w:t>
        </w:r>
      </w:hyperlink>
      <w:r>
        <w:rPr>
          <w:color w:val="EE0000"/>
          <w:sz w:val="20"/>
          <w:szCs w:val="20"/>
        </w:rPr>
        <w:t>&gt;. Acesso em: 05 de jan. 2020.</w:t>
      </w:r>
    </w:p>
    <w:p>
      <w:pPr>
        <w:pStyle w:val="Normal"/>
        <w:ind w:left="915" w:firstLine="567"/>
        <w:rPr>
          <w:color w:val="EE0000"/>
          <w:sz w:val="20"/>
          <w:szCs w:val="20"/>
        </w:rPr>
      </w:pPr>
      <w:r>
        <w:rPr>
          <w:color w:val="EE0000"/>
          <w:sz w:val="20"/>
          <w:szCs w:val="20"/>
        </w:rPr>
        <w:t>SILVA, I. F.; REIS, F.; RANGEL, G. M. M.; FRANCO, M.; GAUTO, P. R.; SILVA, S. G. L. PATERNO, U.</w:t>
      </w:r>
    </w:p>
    <w:p>
      <w:pPr>
        <w:pStyle w:val="Normal"/>
        <w:ind w:left="915" w:right="760" w:firstLine="567"/>
        <w:rPr>
          <w:color w:val="EE0000"/>
          <w:sz w:val="20"/>
          <w:szCs w:val="20"/>
        </w:rPr>
      </w:pPr>
      <w:r>
        <w:rPr>
          <w:color w:val="EE0000"/>
          <w:sz w:val="20"/>
          <w:szCs w:val="20"/>
        </w:rPr>
        <w:t>Aprendendo Libras como segunda língua: nível intermediário. Palhoça: IFSC- Campus Palhoça Bilíngue, [201-]. Disponível em: &lt;https://palhoca.ifsc.edu.br/materiais/apostila-libras-intermediario/ Apostila_Libras_Intermediario_IFSC-Palhoca-Bilingue.pdf&gt;. Acesso em: 01 jun. 2020.</w:t>
      </w:r>
    </w:p>
    <w:p>
      <w:pPr>
        <w:pStyle w:val="Normal"/>
        <w:pBdr/>
        <w:ind w:left="915" w:firstLine="567"/>
        <w:rPr>
          <w:color w:val="EE0000"/>
          <w:sz w:val="20"/>
          <w:szCs w:val="20"/>
        </w:rPr>
      </w:pPr>
      <w:r>
        <w:rPr>
          <w:color w:val="EE0000"/>
          <w:sz w:val="20"/>
          <w:szCs w:val="20"/>
        </w:rPr>
        <w:t>STROBEL, K. As imagens do outro sobre a cultura surda. Florianópolis: Ed. Da UFSC, 2008.</w:t>
      </w:r>
    </w:p>
    <w:p>
      <w:pPr>
        <w:pStyle w:val="Normal"/>
        <w:pBdr/>
        <w:spacing w:lineRule="auto" w:line="360"/>
        <w:ind w:left="915" w:firstLine="567"/>
        <w:jc w:val="both"/>
        <w:rPr>
          <w:color w:val="EE0000"/>
          <w:sz w:val="24"/>
          <w:szCs w:val="24"/>
          <w:lang w:val="pt-BR"/>
        </w:rPr>
      </w:pPr>
      <w:r>
        <w:rPr>
          <w:color w:val="EE0000"/>
          <w:sz w:val="24"/>
          <w:szCs w:val="24"/>
          <w:lang w:val="pt-BR"/>
        </w:rPr>
      </w:r>
    </w:p>
    <w:p>
      <w:pPr>
        <w:pStyle w:val="Ttulo11"/>
        <w:rPr>
          <w:lang w:val="pt-BR"/>
        </w:rPr>
      </w:pPr>
      <w:bookmarkStart w:id="84" w:name="_Toc229667257"/>
      <w:r>
        <w:rPr/>
        <w:t>22 REFERÊNCIAS</w:t>
      </w:r>
      <w:bookmarkEnd w:id="84"/>
    </w:p>
    <w:p>
      <w:pPr>
        <w:pStyle w:val="Normal"/>
        <w:pBdr/>
        <w:spacing w:lineRule="auto" w:line="360"/>
        <w:ind w:left="915" w:firstLine="567"/>
        <w:jc w:val="both"/>
        <w:rPr>
          <w:color w:val="EE0000"/>
          <w:sz w:val="24"/>
          <w:szCs w:val="24"/>
        </w:rPr>
      </w:pPr>
      <w:r>
        <w:rPr>
          <w:color w:val="EE0000"/>
          <w:sz w:val="24"/>
          <w:szCs w:val="24"/>
        </w:rPr>
        <w:t>Citar todas as referências utilizadas no texto do PPC.</w:t>
      </w:r>
    </w:p>
    <w:p>
      <w:pPr>
        <w:pStyle w:val="Normal"/>
        <w:pBdr/>
        <w:spacing w:lineRule="auto" w:line="360"/>
        <w:ind w:left="915" w:firstLine="567"/>
        <w:jc w:val="both"/>
        <w:rPr>
          <w:color w:val="EE0000"/>
          <w:sz w:val="28"/>
          <w:szCs w:val="28"/>
        </w:rPr>
      </w:pPr>
      <w:r>
        <w:rPr>
          <w:color w:val="EE0000"/>
          <w:sz w:val="28"/>
          <w:szCs w:val="28"/>
        </w:rPr>
      </w:r>
    </w:p>
    <w:p>
      <w:pPr>
        <w:pStyle w:val="Normal"/>
        <w:pBdr/>
        <w:spacing w:lineRule="auto" w:line="360"/>
        <w:ind w:left="915" w:firstLine="567"/>
        <w:jc w:val="both"/>
        <w:rPr>
          <w:color w:val="FF0000"/>
          <w:sz w:val="24"/>
          <w:szCs w:val="24"/>
        </w:rPr>
      </w:pPr>
      <w:r>
        <w:rPr>
          <w:color w:val="FF0000"/>
          <w:sz w:val="24"/>
          <w:szCs w:val="24"/>
        </w:rPr>
      </w:r>
    </w:p>
    <w:p>
      <w:pPr>
        <w:pStyle w:val="Normal"/>
        <w:spacing w:lineRule="auto" w:line="360"/>
        <w:jc w:val="both"/>
        <w:rPr>
          <w:color w:val="FF0000"/>
          <w:sz w:val="24"/>
          <w:szCs w:val="24"/>
        </w:rPr>
      </w:pPr>
      <w:r>
        <w:rPr/>
      </w:r>
    </w:p>
    <w:sectPr>
      <w:type w:val="continuous"/>
      <w:pgSz w:w="11906" w:h="16838"/>
      <w:pgMar w:left="1134" w:right="1134" w:gutter="0" w:header="708" w:top="1134" w:footer="0" w:bottom="1134"/>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053887190"/>
    </w:sdtPr>
    <w:sdtContent>
      <w:p>
        <w:pPr>
          <w:pStyle w:val="Cabealho"/>
          <w:rPr>
            <w:rStyle w:val="Pagenumber"/>
          </w:rPr>
        </w:pPr>
        <w:r>
          <w:rPr>
            <w:rStyle w:val="Pagenumber"/>
          </w:rPr>
          <w:fldChar w:fldCharType="begin"/>
        </w:r>
        <w:r>
          <w:rPr>
            <w:rStyle w:val="Pagenumber"/>
          </w:rPr>
          <w:instrText> PAGE </w:instrText>
        </w:r>
        <w:r>
          <w:rPr>
            <w:rStyle w:val="Pagenumber"/>
          </w:rPr>
          <w:fldChar w:fldCharType="separate"/>
        </w:r>
        <w:r>
          <w:rPr>
            <w:rStyle w:val="Pagenumber"/>
          </w:rPr>
          <w:t>0</w:t>
        </w:r>
        <w:r>
          <w:rPr>
            <w:rStyle w:val="Pagenumber"/>
          </w:rPr>
          <w:fldChar w:fldCharType="end"/>
        </w:r>
      </w:p>
      <w:p>
        <w:pPr>
          <w:pStyle w:val="Cabealho"/>
          <w:ind w:right="360" w:hanging="0"/>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0"/>
        </w:tabs>
        <w:ind w:left="2143" w:hanging="158"/>
      </w:pPr>
      <w:rPr>
        <w:sz w:val="24"/>
        <w:i/>
        <w:b w:val="false"/>
        <w:szCs w:val="24"/>
        <w:rFonts w:ascii="Times New Roman" w:hAnsi="Times New Roman" w:eastAsia="Times New Roman" w:cs="Times New Roman"/>
        <w:color w:val="3364A3"/>
      </w:rPr>
    </w:lvl>
    <w:lvl w:ilvl="1">
      <w:start w:val="1"/>
      <w:numFmt w:val="lowerLetter"/>
      <w:lvlText w:val="%2)"/>
      <w:lvlJc w:val="left"/>
      <w:pPr>
        <w:tabs>
          <w:tab w:val="num" w:pos="0"/>
        </w:tabs>
        <w:ind w:left="2249" w:hanging="264"/>
      </w:pPr>
      <w:rPr>
        <w:sz w:val="24"/>
        <w:i w:val="false"/>
        <w:b w:val="false"/>
        <w:szCs w:val="24"/>
        <w:rFonts w:ascii="Times New Roman" w:hAnsi="Times New Roman" w:eastAsia="Times New Roman" w:cs="Times New Roman"/>
        <w:color w:val="FF0000"/>
      </w:rPr>
    </w:lvl>
    <w:lvl w:ilvl="2">
      <w:start w:val="0"/>
      <w:numFmt w:val="bullet"/>
      <w:lvlText w:val=""/>
      <w:lvlJc w:val="left"/>
      <w:pPr>
        <w:tabs>
          <w:tab w:val="num" w:pos="0"/>
        </w:tabs>
        <w:ind w:left="3465" w:hanging="264"/>
      </w:pPr>
      <w:rPr>
        <w:rFonts w:ascii="Symbol" w:hAnsi="Symbol" w:cs="Symbol" w:hint="default"/>
      </w:rPr>
    </w:lvl>
    <w:lvl w:ilvl="3">
      <w:start w:val="0"/>
      <w:numFmt w:val="bullet"/>
      <w:lvlText w:val=""/>
      <w:lvlJc w:val="left"/>
      <w:pPr>
        <w:tabs>
          <w:tab w:val="num" w:pos="0"/>
        </w:tabs>
        <w:ind w:left="4523" w:hanging="264"/>
      </w:pPr>
      <w:rPr>
        <w:rFonts w:ascii="Symbol" w:hAnsi="Symbol" w:cs="Symbol" w:hint="default"/>
      </w:rPr>
    </w:lvl>
    <w:lvl w:ilvl="4">
      <w:start w:val="0"/>
      <w:numFmt w:val="bullet"/>
      <w:lvlText w:val=""/>
      <w:lvlJc w:val="left"/>
      <w:pPr>
        <w:tabs>
          <w:tab w:val="num" w:pos="0"/>
        </w:tabs>
        <w:ind w:left="5582" w:hanging="263"/>
      </w:pPr>
      <w:rPr>
        <w:rFonts w:ascii="Symbol" w:hAnsi="Symbol" w:cs="Symbol" w:hint="default"/>
      </w:rPr>
    </w:lvl>
    <w:lvl w:ilvl="5">
      <w:start w:val="0"/>
      <w:numFmt w:val="bullet"/>
      <w:lvlText w:val=""/>
      <w:lvlJc w:val="left"/>
      <w:pPr>
        <w:tabs>
          <w:tab w:val="num" w:pos="0"/>
        </w:tabs>
        <w:ind w:left="6640" w:hanging="264"/>
      </w:pPr>
      <w:rPr>
        <w:rFonts w:ascii="Symbol" w:hAnsi="Symbol" w:cs="Symbol" w:hint="default"/>
      </w:rPr>
    </w:lvl>
    <w:lvl w:ilvl="6">
      <w:start w:val="0"/>
      <w:numFmt w:val="bullet"/>
      <w:lvlText w:val=""/>
      <w:lvlJc w:val="left"/>
      <w:pPr>
        <w:tabs>
          <w:tab w:val="num" w:pos="0"/>
        </w:tabs>
        <w:ind w:left="7699" w:hanging="264"/>
      </w:pPr>
      <w:rPr>
        <w:rFonts w:ascii="Symbol" w:hAnsi="Symbol" w:cs="Symbol" w:hint="default"/>
      </w:rPr>
    </w:lvl>
    <w:lvl w:ilvl="7">
      <w:start w:val="0"/>
      <w:numFmt w:val="bullet"/>
      <w:lvlText w:val=""/>
      <w:lvlJc w:val="left"/>
      <w:pPr>
        <w:tabs>
          <w:tab w:val="num" w:pos="0"/>
        </w:tabs>
        <w:ind w:left="8757" w:hanging="264"/>
      </w:pPr>
      <w:rPr>
        <w:rFonts w:ascii="Symbol" w:hAnsi="Symbol" w:cs="Symbol" w:hint="default"/>
      </w:rPr>
    </w:lvl>
    <w:lvl w:ilvl="8">
      <w:start w:val="0"/>
      <w:numFmt w:val="bullet"/>
      <w:lvlText w:val=""/>
      <w:lvlJc w:val="left"/>
      <w:pPr>
        <w:tabs>
          <w:tab w:val="num" w:pos="0"/>
        </w:tabs>
        <w:ind w:left="9816" w:hanging="264"/>
      </w:pPr>
      <w:rPr>
        <w:rFonts w:ascii="Symbol" w:hAnsi="Symbol" w:cs="Symbol" w:hint="default"/>
      </w:rPr>
    </w:lvl>
  </w:abstractNum>
  <w:abstractNum w:abstractNumId="2">
    <w:lvl w:ilvl="0">
      <w:start w:val="1"/>
      <w:numFmt w:val="lowerLetter"/>
      <w:lvlText w:val="%1)"/>
      <w:lvlJc w:val="left"/>
      <w:pPr>
        <w:tabs>
          <w:tab w:val="num" w:pos="0"/>
        </w:tabs>
        <w:ind w:left="1534" w:hanging="360"/>
      </w:pPr>
    </w:lvl>
    <w:lvl w:ilvl="1">
      <w:start w:val="1"/>
      <w:numFmt w:val="lowerLetter"/>
      <w:lvlText w:val="%2."/>
      <w:lvlJc w:val="left"/>
      <w:pPr>
        <w:tabs>
          <w:tab w:val="num" w:pos="0"/>
        </w:tabs>
        <w:ind w:left="2254" w:hanging="360"/>
      </w:pPr>
    </w:lvl>
    <w:lvl w:ilvl="2">
      <w:start w:val="1"/>
      <w:numFmt w:val="lowerRoman"/>
      <w:lvlText w:val="%3."/>
      <w:lvlJc w:val="right"/>
      <w:pPr>
        <w:tabs>
          <w:tab w:val="num" w:pos="0"/>
        </w:tabs>
        <w:ind w:left="2974" w:hanging="180"/>
      </w:pPr>
    </w:lvl>
    <w:lvl w:ilvl="3">
      <w:start w:val="1"/>
      <w:numFmt w:val="decimal"/>
      <w:lvlText w:val="%4."/>
      <w:lvlJc w:val="left"/>
      <w:pPr>
        <w:tabs>
          <w:tab w:val="num" w:pos="0"/>
        </w:tabs>
        <w:ind w:left="3694" w:hanging="360"/>
      </w:pPr>
    </w:lvl>
    <w:lvl w:ilvl="4">
      <w:start w:val="1"/>
      <w:numFmt w:val="lowerLetter"/>
      <w:lvlText w:val="%5."/>
      <w:lvlJc w:val="left"/>
      <w:pPr>
        <w:tabs>
          <w:tab w:val="num" w:pos="0"/>
        </w:tabs>
        <w:ind w:left="4414" w:hanging="360"/>
      </w:pPr>
    </w:lvl>
    <w:lvl w:ilvl="5">
      <w:start w:val="1"/>
      <w:numFmt w:val="lowerRoman"/>
      <w:lvlText w:val="%6."/>
      <w:lvlJc w:val="right"/>
      <w:pPr>
        <w:tabs>
          <w:tab w:val="num" w:pos="0"/>
        </w:tabs>
        <w:ind w:left="5134" w:hanging="180"/>
      </w:pPr>
    </w:lvl>
    <w:lvl w:ilvl="6">
      <w:start w:val="1"/>
      <w:numFmt w:val="decimal"/>
      <w:lvlText w:val="%7."/>
      <w:lvlJc w:val="left"/>
      <w:pPr>
        <w:tabs>
          <w:tab w:val="num" w:pos="0"/>
        </w:tabs>
        <w:ind w:left="5854" w:hanging="360"/>
      </w:pPr>
    </w:lvl>
    <w:lvl w:ilvl="7">
      <w:start w:val="1"/>
      <w:numFmt w:val="lowerLetter"/>
      <w:lvlText w:val="%8."/>
      <w:lvlJc w:val="left"/>
      <w:pPr>
        <w:tabs>
          <w:tab w:val="num" w:pos="0"/>
        </w:tabs>
        <w:ind w:left="6574" w:hanging="360"/>
      </w:pPr>
    </w:lvl>
    <w:lvl w:ilvl="8">
      <w:start w:val="1"/>
      <w:numFmt w:val="lowerRoman"/>
      <w:lvlText w:val="%9."/>
      <w:lvlJc w:val="right"/>
      <w:pPr>
        <w:tabs>
          <w:tab w:val="num" w:pos="0"/>
        </w:tabs>
        <w:ind w:left="7294" w:hanging="180"/>
      </w:pPr>
    </w:lvl>
  </w:abstractNum>
  <w:abstractNum w:abstractNumId="3">
    <w:lvl w:ilvl="0">
      <w:start w:val="2"/>
      <w:numFmt w:val="upp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4"/>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6c0f"/>
    <w:pPr>
      <w:widowControl w:val="false"/>
      <w:bidi w:val="0"/>
      <w:spacing w:before="0" w:after="0"/>
      <w:jc w:val="left"/>
    </w:pPr>
    <w:rPr>
      <w:rFonts w:ascii="Times New Roman" w:hAnsi="Times New Roman" w:eastAsia="Times New Roman" w:cs="Times New Roman"/>
      <w:color w:val="auto"/>
      <w:kern w:val="0"/>
      <w:sz w:val="22"/>
      <w:szCs w:val="22"/>
      <w:lang w:val="pt-PT" w:eastAsia="pt-BR" w:bidi="ar-SA"/>
    </w:rPr>
  </w:style>
  <w:style w:type="paragraph" w:styleId="Ttulo1">
    <w:name w:val="Heading 1"/>
    <w:basedOn w:val="Normal"/>
    <w:next w:val="Normal"/>
    <w:link w:val="Ttulo1Char"/>
    <w:uiPriority w:val="9"/>
    <w:qFormat/>
    <w:rsid w:val="002b56c2"/>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Ttulo2">
    <w:name w:val="Heading 2"/>
    <w:basedOn w:val="Normal"/>
    <w:next w:val="Normal"/>
    <w:link w:val="Ttulo2Char"/>
    <w:uiPriority w:val="9"/>
    <w:semiHidden/>
    <w:unhideWhenUsed/>
    <w:qFormat/>
    <w:rsid w:val="002b56c2"/>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Ttulo3">
    <w:name w:val="Heading 3"/>
    <w:basedOn w:val="Normal"/>
    <w:next w:val="Normal"/>
    <w:link w:val="Ttulo3Char"/>
    <w:uiPriority w:val="9"/>
    <w:semiHidden/>
    <w:unhideWhenUsed/>
    <w:qFormat/>
    <w:rsid w:val="002b56c2"/>
    <w:pPr>
      <w:keepNext w:val="true"/>
      <w:keepLines/>
      <w:spacing w:before="160" w:after="80"/>
      <w:outlineLvl w:val="2"/>
    </w:pPr>
    <w:rPr>
      <w:rFonts w:eastAsia="" w:cs="" w:cstheme="majorBidi" w:eastAsiaTheme="majorEastAsia"/>
      <w:color w:val="2F5496" w:themeColor="accent1" w:themeShade="bf"/>
      <w:sz w:val="28"/>
      <w:szCs w:val="28"/>
    </w:rPr>
  </w:style>
  <w:style w:type="paragraph" w:styleId="Ttulo4">
    <w:name w:val="Heading 4"/>
    <w:basedOn w:val="Normal"/>
    <w:next w:val="Normal"/>
    <w:link w:val="Ttulo4Char"/>
    <w:uiPriority w:val="9"/>
    <w:semiHidden/>
    <w:unhideWhenUsed/>
    <w:qFormat/>
    <w:rsid w:val="002b56c2"/>
    <w:pPr>
      <w:keepNext w:val="true"/>
      <w:keepLines/>
      <w:spacing w:before="80" w:after="40"/>
      <w:outlineLvl w:val="3"/>
    </w:pPr>
    <w:rPr>
      <w:rFonts w:eastAsia="" w:cs="" w:cstheme="majorBidi" w:eastAsiaTheme="majorEastAsia"/>
      <w:i/>
      <w:iCs/>
      <w:color w:val="2F5496" w:themeColor="accent1" w:themeShade="bf"/>
    </w:rPr>
  </w:style>
  <w:style w:type="paragraph" w:styleId="Ttulo5">
    <w:name w:val="Heading 5"/>
    <w:basedOn w:val="Normal"/>
    <w:next w:val="Normal"/>
    <w:link w:val="Ttulo5Char"/>
    <w:uiPriority w:val="9"/>
    <w:semiHidden/>
    <w:unhideWhenUsed/>
    <w:qFormat/>
    <w:rsid w:val="002b56c2"/>
    <w:pPr>
      <w:keepNext w:val="true"/>
      <w:keepLines/>
      <w:spacing w:before="80" w:after="40"/>
      <w:outlineLvl w:val="4"/>
    </w:pPr>
    <w:rPr>
      <w:rFonts w:eastAsia="" w:cs="" w:cstheme="majorBidi" w:eastAsiaTheme="majorEastAsia"/>
      <w:color w:val="2F5496" w:themeColor="accent1" w:themeShade="bf"/>
    </w:rPr>
  </w:style>
  <w:style w:type="paragraph" w:styleId="Ttulo6">
    <w:name w:val="Heading 6"/>
    <w:basedOn w:val="Normal"/>
    <w:next w:val="Normal"/>
    <w:link w:val="Ttulo6Char"/>
    <w:uiPriority w:val="9"/>
    <w:semiHidden/>
    <w:unhideWhenUsed/>
    <w:qFormat/>
    <w:rsid w:val="002b56c2"/>
    <w:pPr>
      <w:keepNext w:val="true"/>
      <w:keepLines/>
      <w:spacing w:before="40" w:after="0"/>
      <w:outlineLvl w:val="5"/>
    </w:pPr>
    <w:rPr>
      <w:rFonts w:eastAsia="" w:cs="" w:cstheme="majorBidi" w:eastAsiaTheme="majorEastAsia"/>
      <w:i/>
      <w:iCs/>
      <w:color w:val="595959" w:themeColor="text1" w:themeTint="a6"/>
    </w:rPr>
  </w:style>
  <w:style w:type="paragraph" w:styleId="Ttulo7">
    <w:name w:val="Heading 7"/>
    <w:basedOn w:val="Normal"/>
    <w:next w:val="Normal"/>
    <w:link w:val="Ttulo7Char"/>
    <w:uiPriority w:val="9"/>
    <w:semiHidden/>
    <w:unhideWhenUsed/>
    <w:qFormat/>
    <w:rsid w:val="002b56c2"/>
    <w:pPr>
      <w:keepNext w:val="true"/>
      <w:keepLines/>
      <w:spacing w:before="40" w:after="0"/>
      <w:outlineLvl w:val="6"/>
    </w:pPr>
    <w:rPr>
      <w:rFonts w:eastAsia="" w:cs="" w:cstheme="majorBidi" w:eastAsiaTheme="majorEastAsia"/>
      <w:color w:val="595959" w:themeColor="text1" w:themeTint="a6"/>
    </w:rPr>
  </w:style>
  <w:style w:type="paragraph" w:styleId="Ttulo8">
    <w:name w:val="Heading 8"/>
    <w:basedOn w:val="Normal"/>
    <w:next w:val="Normal"/>
    <w:link w:val="Ttulo8Char"/>
    <w:uiPriority w:val="9"/>
    <w:semiHidden/>
    <w:unhideWhenUsed/>
    <w:qFormat/>
    <w:rsid w:val="002b56c2"/>
    <w:pPr>
      <w:keepNext w:val="true"/>
      <w:keepLines/>
      <w:outlineLvl w:val="7"/>
    </w:pPr>
    <w:rPr>
      <w:rFonts w:eastAsia="" w:cs="" w:cstheme="majorBidi" w:eastAsiaTheme="majorEastAsia"/>
      <w:i/>
      <w:iCs/>
      <w:color w:val="272727" w:themeColor="text1" w:themeTint="d8"/>
    </w:rPr>
  </w:style>
  <w:style w:type="paragraph" w:styleId="Ttulo9">
    <w:name w:val="Heading 9"/>
    <w:basedOn w:val="Normal"/>
    <w:next w:val="Normal"/>
    <w:link w:val="Ttulo9Char"/>
    <w:uiPriority w:val="9"/>
    <w:semiHidden/>
    <w:unhideWhenUsed/>
    <w:qFormat/>
    <w:rsid w:val="002b56c2"/>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link w:val="Ttulo1"/>
    <w:uiPriority w:val="9"/>
    <w:qFormat/>
    <w:rsid w:val="002b56c2"/>
    <w:rPr>
      <w:rFonts w:ascii="Calibri Light" w:hAnsi="Calibri Light" w:eastAsia="" w:cs="" w:asciiTheme="majorHAnsi" w:cstheme="majorBidi" w:eastAsiaTheme="majorEastAsia" w:hAnsiTheme="majorHAnsi"/>
      <w:color w:val="2F5496" w:themeColor="accent1" w:themeShade="bf"/>
      <w:sz w:val="40"/>
      <w:szCs w:val="40"/>
    </w:rPr>
  </w:style>
  <w:style w:type="character" w:styleId="Ttulo2Char" w:customStyle="1">
    <w:name w:val="Título 2 Char"/>
    <w:basedOn w:val="DefaultParagraphFont"/>
    <w:link w:val="Ttulo2"/>
    <w:uiPriority w:val="9"/>
    <w:semiHidden/>
    <w:qFormat/>
    <w:rsid w:val="002b56c2"/>
    <w:rPr>
      <w:rFonts w:ascii="Calibri Light" w:hAnsi="Calibri Light" w:eastAsia="" w:cs="" w:asciiTheme="majorHAnsi" w:cstheme="majorBidi" w:eastAsiaTheme="majorEastAsia" w:hAnsiTheme="majorHAnsi"/>
      <w:color w:val="2F5496" w:themeColor="accent1" w:themeShade="bf"/>
      <w:sz w:val="32"/>
      <w:szCs w:val="32"/>
    </w:rPr>
  </w:style>
  <w:style w:type="character" w:styleId="Ttulo3Char" w:customStyle="1">
    <w:name w:val="Título 3 Char"/>
    <w:basedOn w:val="DefaultParagraphFont"/>
    <w:link w:val="Ttulo3"/>
    <w:uiPriority w:val="9"/>
    <w:semiHidden/>
    <w:qFormat/>
    <w:rsid w:val="002b56c2"/>
    <w:rPr>
      <w:rFonts w:eastAsia="" w:cs="" w:cstheme="majorBidi" w:eastAsiaTheme="majorEastAsia"/>
      <w:color w:val="2F5496" w:themeColor="accent1" w:themeShade="bf"/>
      <w:sz w:val="28"/>
      <w:szCs w:val="28"/>
    </w:rPr>
  </w:style>
  <w:style w:type="character" w:styleId="Ttulo4Char" w:customStyle="1">
    <w:name w:val="Título 4 Char"/>
    <w:basedOn w:val="DefaultParagraphFont"/>
    <w:link w:val="Ttulo4"/>
    <w:uiPriority w:val="9"/>
    <w:semiHidden/>
    <w:qFormat/>
    <w:rsid w:val="002b56c2"/>
    <w:rPr>
      <w:rFonts w:eastAsia="" w:cs="" w:cstheme="majorBidi" w:eastAsiaTheme="majorEastAsia"/>
      <w:i/>
      <w:iCs/>
      <w:color w:val="2F5496" w:themeColor="accent1" w:themeShade="bf"/>
    </w:rPr>
  </w:style>
  <w:style w:type="character" w:styleId="Ttulo5Char" w:customStyle="1">
    <w:name w:val="Título 5 Char"/>
    <w:basedOn w:val="DefaultParagraphFont"/>
    <w:link w:val="Ttulo5"/>
    <w:uiPriority w:val="9"/>
    <w:semiHidden/>
    <w:qFormat/>
    <w:rsid w:val="002b56c2"/>
    <w:rPr>
      <w:rFonts w:eastAsia="" w:cs="" w:cstheme="majorBidi" w:eastAsiaTheme="majorEastAsia"/>
      <w:color w:val="2F5496" w:themeColor="accent1" w:themeShade="bf"/>
    </w:rPr>
  </w:style>
  <w:style w:type="character" w:styleId="Ttulo6Char" w:customStyle="1">
    <w:name w:val="Título 6 Char"/>
    <w:basedOn w:val="DefaultParagraphFont"/>
    <w:link w:val="Ttulo6"/>
    <w:uiPriority w:val="9"/>
    <w:semiHidden/>
    <w:qFormat/>
    <w:rsid w:val="002b56c2"/>
    <w:rPr>
      <w:rFonts w:eastAsia="" w:cs="" w:cstheme="majorBidi" w:eastAsiaTheme="majorEastAsia"/>
      <w:i/>
      <w:iCs/>
      <w:color w:val="595959" w:themeColor="text1" w:themeTint="a6"/>
    </w:rPr>
  </w:style>
  <w:style w:type="character" w:styleId="Ttulo7Char" w:customStyle="1">
    <w:name w:val="Título 7 Char"/>
    <w:basedOn w:val="DefaultParagraphFont"/>
    <w:link w:val="Ttulo7"/>
    <w:uiPriority w:val="9"/>
    <w:semiHidden/>
    <w:qFormat/>
    <w:rsid w:val="002b56c2"/>
    <w:rPr>
      <w:rFonts w:eastAsia="" w:cs="" w:cstheme="majorBidi" w:eastAsiaTheme="majorEastAsia"/>
      <w:color w:val="595959" w:themeColor="text1" w:themeTint="a6"/>
    </w:rPr>
  </w:style>
  <w:style w:type="character" w:styleId="Ttulo8Char" w:customStyle="1">
    <w:name w:val="Título 8 Char"/>
    <w:basedOn w:val="DefaultParagraphFont"/>
    <w:link w:val="Ttulo8"/>
    <w:uiPriority w:val="9"/>
    <w:semiHidden/>
    <w:qFormat/>
    <w:rsid w:val="002b56c2"/>
    <w:rPr>
      <w:rFonts w:eastAsia="" w:cs="" w:cstheme="majorBidi" w:eastAsiaTheme="majorEastAsia"/>
      <w:i/>
      <w:iCs/>
      <w:color w:val="272727" w:themeColor="text1" w:themeTint="d8"/>
    </w:rPr>
  </w:style>
  <w:style w:type="character" w:styleId="Ttulo9Char" w:customStyle="1">
    <w:name w:val="Título 9 Char"/>
    <w:basedOn w:val="DefaultParagraphFont"/>
    <w:link w:val="Ttulo9"/>
    <w:uiPriority w:val="9"/>
    <w:semiHidden/>
    <w:qFormat/>
    <w:rsid w:val="002b56c2"/>
    <w:rPr>
      <w:rFonts w:eastAsia="" w:cs="" w:cstheme="majorBidi" w:eastAsiaTheme="majorEastAsia"/>
      <w:color w:val="272727" w:themeColor="text1" w:themeTint="d8"/>
    </w:rPr>
  </w:style>
  <w:style w:type="character" w:styleId="TtuloChar" w:customStyle="1">
    <w:name w:val="Título Char"/>
    <w:basedOn w:val="DefaultParagraphFont"/>
    <w:link w:val="Ttulo"/>
    <w:uiPriority w:val="10"/>
    <w:qFormat/>
    <w:rsid w:val="002b56c2"/>
    <w:rPr>
      <w:rFonts w:ascii="Calibri Light" w:hAnsi="Calibri Light" w:eastAsia="" w:cs="" w:asciiTheme="majorHAnsi" w:cstheme="majorBidi" w:eastAsiaTheme="majorEastAsia" w:hAnsiTheme="majorHAnsi"/>
      <w:spacing w:val="-10"/>
      <w:kern w:val="2"/>
      <w:sz w:val="56"/>
      <w:szCs w:val="56"/>
    </w:rPr>
  </w:style>
  <w:style w:type="character" w:styleId="SubttuloChar" w:customStyle="1">
    <w:name w:val="Subtítulo Char"/>
    <w:basedOn w:val="DefaultParagraphFont"/>
    <w:link w:val="Subttulo"/>
    <w:uiPriority w:val="11"/>
    <w:qFormat/>
    <w:rsid w:val="00831c8e"/>
    <w:rPr>
      <w:rFonts w:ascii="Times New Roman" w:hAnsi="Times New Roman" w:eastAsia="" w:cs="Times New Roman (Títulos CS)" w:eastAsiaTheme="majorEastAsia"/>
      <w:b/>
      <w:szCs w:val="28"/>
      <w:lang w:val="pt-PT" w:eastAsia="pt-BR"/>
    </w:rPr>
  </w:style>
  <w:style w:type="character" w:styleId="CitaoChar" w:customStyle="1">
    <w:name w:val="Citação Char"/>
    <w:basedOn w:val="DefaultParagraphFont"/>
    <w:link w:val="Citao"/>
    <w:uiPriority w:val="29"/>
    <w:qFormat/>
    <w:rsid w:val="002b56c2"/>
    <w:rPr>
      <w:i/>
      <w:iCs/>
      <w:color w:val="404040" w:themeColor="text1" w:themeTint="bf"/>
    </w:rPr>
  </w:style>
  <w:style w:type="character" w:styleId="IntenseEmphasis">
    <w:name w:val="Intense Emphasis"/>
    <w:basedOn w:val="DefaultParagraphFont"/>
    <w:uiPriority w:val="21"/>
    <w:qFormat/>
    <w:rsid w:val="002b56c2"/>
    <w:rPr>
      <w:i/>
      <w:iCs/>
      <w:color w:val="2F5496" w:themeColor="accent1" w:themeShade="bf"/>
    </w:rPr>
  </w:style>
  <w:style w:type="character" w:styleId="CitaoIntensaChar" w:customStyle="1">
    <w:name w:val="Citação Intensa Char"/>
    <w:basedOn w:val="DefaultParagraphFont"/>
    <w:link w:val="CitaoIntensa"/>
    <w:uiPriority w:val="30"/>
    <w:qFormat/>
    <w:rsid w:val="002b56c2"/>
    <w:rPr>
      <w:i/>
      <w:iCs/>
      <w:color w:val="2F5496" w:themeColor="accent1" w:themeShade="bf"/>
    </w:rPr>
  </w:style>
  <w:style w:type="character" w:styleId="IntenseReference">
    <w:name w:val="Intense Reference"/>
    <w:basedOn w:val="DefaultParagraphFont"/>
    <w:uiPriority w:val="32"/>
    <w:qFormat/>
    <w:rsid w:val="002b56c2"/>
    <w:rPr>
      <w:b/>
      <w:bCs/>
      <w:smallCaps/>
      <w:color w:val="2F5496" w:themeColor="accent1" w:themeShade="bf"/>
      <w:spacing w:val="5"/>
    </w:rPr>
  </w:style>
  <w:style w:type="character" w:styleId="Bzpyqfadein" w:customStyle="1">
    <w:name w:val="bz_pyq_fadein"/>
    <w:basedOn w:val="DefaultParagraphFont"/>
    <w:qFormat/>
    <w:rsid w:val="00af7313"/>
    <w:rPr/>
  </w:style>
  <w:style w:type="character" w:styleId="Appleconvertedspace" w:customStyle="1">
    <w:name w:val="apple-converted-space"/>
    <w:basedOn w:val="DefaultParagraphFont"/>
    <w:qFormat/>
    <w:rsid w:val="00af7313"/>
    <w:rPr/>
  </w:style>
  <w:style w:type="character" w:styleId="Whitespacenormal" w:customStyle="1">
    <w:name w:val="whitespace-normal"/>
    <w:basedOn w:val="DefaultParagraphFont"/>
    <w:qFormat/>
    <w:rsid w:val="002422ff"/>
    <w:rPr/>
  </w:style>
  <w:style w:type="character" w:styleId="LinkdaInternet">
    <w:name w:val="Link da Internet"/>
    <w:basedOn w:val="DefaultParagraphFont"/>
    <w:uiPriority w:val="99"/>
    <w:unhideWhenUsed/>
    <w:rsid w:val="00831c8e"/>
    <w:rPr>
      <w:color w:val="0563C1" w:themeColor="hyperlink"/>
      <w:u w:val="single"/>
    </w:rPr>
  </w:style>
  <w:style w:type="character" w:styleId="CabealhoChar" w:customStyle="1">
    <w:name w:val="Cabeçalho Char"/>
    <w:basedOn w:val="DefaultParagraphFont"/>
    <w:link w:val="Cabealho"/>
    <w:uiPriority w:val="99"/>
    <w:qFormat/>
    <w:rsid w:val="005219e4"/>
    <w:rPr>
      <w:rFonts w:ascii="Times New Roman" w:hAnsi="Times New Roman" w:eastAsia="Times New Roman" w:cs="Times New Roman"/>
      <w:sz w:val="22"/>
      <w:szCs w:val="22"/>
      <w:lang w:val="pt-PT" w:eastAsia="pt-BR"/>
    </w:rPr>
  </w:style>
  <w:style w:type="character" w:styleId="RodapChar" w:customStyle="1">
    <w:name w:val="Rodapé Char"/>
    <w:basedOn w:val="DefaultParagraphFont"/>
    <w:link w:val="Rodap"/>
    <w:uiPriority w:val="99"/>
    <w:qFormat/>
    <w:rsid w:val="005219e4"/>
    <w:rPr>
      <w:rFonts w:ascii="Times New Roman" w:hAnsi="Times New Roman" w:eastAsia="Times New Roman" w:cs="Times New Roman"/>
      <w:sz w:val="22"/>
      <w:szCs w:val="22"/>
      <w:lang w:val="pt-PT" w:eastAsia="pt-BR"/>
    </w:rPr>
  </w:style>
  <w:style w:type="character" w:styleId="Pagenumber">
    <w:name w:val="page number"/>
    <w:basedOn w:val="DefaultParagraphFont"/>
    <w:uiPriority w:val="99"/>
    <w:semiHidden/>
    <w:unhideWhenUsed/>
    <w:qFormat/>
    <w:rsid w:val="004a2388"/>
    <w:rPr/>
  </w:style>
  <w:style w:type="character" w:styleId="Vnculodendice">
    <w:name w:val="Vínculo de índice"/>
    <w:qFormat/>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paragraph" w:styleId="Ttulododocumento">
    <w:name w:val="Title"/>
    <w:basedOn w:val="Normal"/>
    <w:next w:val="Normal"/>
    <w:link w:val="TtuloChar"/>
    <w:uiPriority w:val="10"/>
    <w:qFormat/>
    <w:rsid w:val="002b56c2"/>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tulo">
    <w:name w:val="Subtitle"/>
    <w:next w:val="Normal"/>
    <w:link w:val="SubttuloChar"/>
    <w:uiPriority w:val="11"/>
    <w:qFormat/>
    <w:rsid w:val="00831c8e"/>
    <w:pPr>
      <w:widowControl/>
      <w:bidi w:val="0"/>
      <w:spacing w:lineRule="auto" w:line="360" w:before="0" w:after="0"/>
      <w:ind w:left="567" w:hanging="0"/>
      <w:jc w:val="both"/>
    </w:pPr>
    <w:rPr>
      <w:rFonts w:ascii="Times New Roman" w:hAnsi="Times New Roman" w:eastAsia="" w:cs="Times New Roman (Títulos CS)" w:eastAsiaTheme="majorEastAsia"/>
      <w:b/>
      <w:color w:val="auto"/>
      <w:kern w:val="0"/>
      <w:sz w:val="24"/>
      <w:szCs w:val="28"/>
      <w:lang w:val="pt-PT" w:eastAsia="pt-BR" w:bidi="ar-SA"/>
    </w:rPr>
  </w:style>
  <w:style w:type="paragraph" w:styleId="Quote">
    <w:name w:val="Quote"/>
    <w:basedOn w:val="Normal"/>
    <w:next w:val="Normal"/>
    <w:link w:val="CitaoChar"/>
    <w:uiPriority w:val="29"/>
    <w:qFormat/>
    <w:rsid w:val="002b56c2"/>
    <w:pPr>
      <w:spacing w:before="160" w:after="160"/>
      <w:jc w:val="center"/>
    </w:pPr>
    <w:rPr>
      <w:i/>
      <w:iCs/>
      <w:color w:val="404040" w:themeColor="text1" w:themeTint="bf"/>
    </w:rPr>
  </w:style>
  <w:style w:type="paragraph" w:styleId="ListParagraph">
    <w:name w:val="List Paragraph"/>
    <w:basedOn w:val="Normal"/>
    <w:uiPriority w:val="34"/>
    <w:qFormat/>
    <w:rsid w:val="002b56c2"/>
    <w:pPr>
      <w:spacing w:before="0" w:after="0"/>
      <w:ind w:left="720" w:hanging="0"/>
      <w:contextualSpacing/>
    </w:pPr>
    <w:rPr/>
  </w:style>
  <w:style w:type="paragraph" w:styleId="IntenseQuote">
    <w:name w:val="Intense Quote"/>
    <w:basedOn w:val="Normal"/>
    <w:next w:val="Normal"/>
    <w:link w:val="CitaoIntensaChar"/>
    <w:uiPriority w:val="30"/>
    <w:qFormat/>
    <w:rsid w:val="002b56c2"/>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Ttulo11" w:customStyle="1">
    <w:name w:val="Título 11"/>
    <w:basedOn w:val="Normal"/>
    <w:uiPriority w:val="1"/>
    <w:qFormat/>
    <w:rsid w:val="000c2c4d"/>
    <w:pPr>
      <w:spacing w:lineRule="auto" w:line="360"/>
      <w:ind w:left="915" w:hanging="360"/>
      <w:outlineLvl w:val="1"/>
    </w:pPr>
    <w:rPr>
      <w:b/>
      <w:bCs/>
      <w:sz w:val="24"/>
      <w:szCs w:val="24"/>
    </w:rPr>
  </w:style>
  <w:style w:type="paragraph" w:styleId="Ttulo21" w:customStyle="1">
    <w:name w:val="Título 21"/>
    <w:basedOn w:val="Normal"/>
    <w:uiPriority w:val="1"/>
    <w:qFormat/>
    <w:rsid w:val="005219e4"/>
    <w:pPr>
      <w:spacing w:lineRule="auto" w:line="360"/>
      <w:ind w:left="1035" w:hanging="480"/>
      <w:jc w:val="both"/>
      <w:outlineLvl w:val="2"/>
    </w:pPr>
    <w:rPr>
      <w:b/>
      <w:bCs/>
      <w:sz w:val="24"/>
      <w:szCs w:val="24"/>
    </w:rPr>
  </w:style>
  <w:style w:type="paragraph" w:styleId="NormalWeb">
    <w:name w:val="Normal (Web)"/>
    <w:basedOn w:val="Normal"/>
    <w:uiPriority w:val="99"/>
    <w:unhideWhenUsed/>
    <w:qFormat/>
    <w:rsid w:val="00c97aeb"/>
    <w:pPr>
      <w:widowControl/>
      <w:spacing w:beforeAutospacing="1" w:afterAutospacing="1"/>
    </w:pPr>
    <w:rPr>
      <w:sz w:val="24"/>
      <w:szCs w:val="24"/>
      <w:lang w:val="pt-BR"/>
    </w:rPr>
  </w:style>
  <w:style w:type="paragraph" w:styleId="Ttulo31" w:customStyle="1">
    <w:name w:val="Título 31"/>
    <w:basedOn w:val="Normal"/>
    <w:uiPriority w:val="1"/>
    <w:qFormat/>
    <w:rsid w:val="002422ff"/>
    <w:pPr>
      <w:ind w:left="555" w:hanging="0"/>
      <w:outlineLvl w:val="3"/>
    </w:pPr>
    <w:rPr>
      <w:b/>
      <w:bCs/>
      <w:i/>
      <w:iCs/>
      <w:sz w:val="24"/>
      <w:szCs w:val="24"/>
    </w:rPr>
  </w:style>
  <w:style w:type="paragraph" w:styleId="Isselectedend" w:customStyle="1">
    <w:name w:val="isselectedend"/>
    <w:basedOn w:val="Normal"/>
    <w:qFormat/>
    <w:rsid w:val="00ea2262"/>
    <w:pPr>
      <w:widowControl/>
      <w:spacing w:beforeAutospacing="1" w:afterAutospacing="1"/>
    </w:pPr>
    <w:rPr>
      <w:sz w:val="24"/>
      <w:szCs w:val="24"/>
      <w:lang w:val="pt-BR"/>
    </w:rPr>
  </w:style>
  <w:style w:type="paragraph" w:styleId="Ttulodondicealfabtico">
    <w:name w:val="Index Heading"/>
    <w:basedOn w:val="Ttulo"/>
    <w:pPr/>
    <w:rPr/>
  </w:style>
  <w:style w:type="paragraph" w:styleId="Ttulodosumrio">
    <w:name w:val="TOC Heading"/>
    <w:basedOn w:val="Ttulo1"/>
    <w:next w:val="Normal"/>
    <w:uiPriority w:val="39"/>
    <w:unhideWhenUsed/>
    <w:qFormat/>
    <w:rsid w:val="00831c8e"/>
    <w:pPr>
      <w:widowControl/>
      <w:spacing w:lineRule="auto" w:line="276" w:before="480" w:after="0"/>
      <w:outlineLvl w:val="9"/>
    </w:pPr>
    <w:rPr>
      <w:b/>
      <w:bCs/>
      <w:sz w:val="28"/>
      <w:szCs w:val="28"/>
      <w:lang w:val="pt-BR"/>
    </w:rPr>
  </w:style>
  <w:style w:type="paragraph" w:styleId="Sumrio2">
    <w:name w:val="TOC 2"/>
    <w:basedOn w:val="Normal"/>
    <w:next w:val="Normal"/>
    <w:autoRedefine/>
    <w:uiPriority w:val="39"/>
    <w:unhideWhenUsed/>
    <w:rsid w:val="00831c8e"/>
    <w:pPr>
      <w:spacing w:before="120" w:after="0"/>
      <w:ind w:left="220" w:hanging="0"/>
    </w:pPr>
    <w:rPr>
      <w:rFonts w:ascii="Calibri" w:hAnsi="Calibri" w:cs="Calibri" w:asciiTheme="minorHAnsi" w:cstheme="minorHAnsi" w:hAnsiTheme="minorHAnsi"/>
      <w:b/>
      <w:bCs/>
    </w:rPr>
  </w:style>
  <w:style w:type="paragraph" w:styleId="Sumrio3">
    <w:name w:val="TOC 3"/>
    <w:basedOn w:val="Normal"/>
    <w:next w:val="Normal"/>
    <w:autoRedefine/>
    <w:uiPriority w:val="39"/>
    <w:unhideWhenUsed/>
    <w:rsid w:val="00831c8e"/>
    <w:pPr>
      <w:ind w:left="440" w:hanging="0"/>
    </w:pPr>
    <w:rPr>
      <w:rFonts w:ascii="Calibri" w:hAnsi="Calibri" w:cs="Calibri" w:asciiTheme="minorHAnsi" w:cstheme="minorHAnsi" w:hAnsiTheme="minorHAnsi"/>
      <w:sz w:val="20"/>
      <w:szCs w:val="20"/>
    </w:rPr>
  </w:style>
  <w:style w:type="paragraph" w:styleId="Sumrio1">
    <w:name w:val="TOC 1"/>
    <w:basedOn w:val="Normal"/>
    <w:next w:val="Normal"/>
    <w:autoRedefine/>
    <w:uiPriority w:val="39"/>
    <w:unhideWhenUsed/>
    <w:rsid w:val="00831c8e"/>
    <w:pPr>
      <w:spacing w:before="120" w:after="0"/>
    </w:pPr>
    <w:rPr>
      <w:rFonts w:ascii="Calibri" w:hAnsi="Calibri" w:cs="Calibri" w:asciiTheme="minorHAnsi" w:cstheme="minorHAnsi" w:hAnsiTheme="minorHAnsi"/>
      <w:b/>
      <w:bCs/>
      <w:i/>
      <w:iCs/>
      <w:sz w:val="24"/>
      <w:szCs w:val="24"/>
    </w:rPr>
  </w:style>
  <w:style w:type="paragraph" w:styleId="Sumrio4">
    <w:name w:val="TOC 4"/>
    <w:basedOn w:val="Normal"/>
    <w:next w:val="Normal"/>
    <w:autoRedefine/>
    <w:uiPriority w:val="39"/>
    <w:unhideWhenUsed/>
    <w:rsid w:val="00831c8e"/>
    <w:pPr>
      <w:ind w:left="660" w:hanging="0"/>
    </w:pPr>
    <w:rPr>
      <w:rFonts w:ascii="Calibri" w:hAnsi="Calibri" w:cs="Calibri" w:asciiTheme="minorHAnsi" w:cstheme="minorHAnsi" w:hAnsiTheme="minorHAnsi"/>
      <w:sz w:val="20"/>
      <w:szCs w:val="20"/>
    </w:rPr>
  </w:style>
  <w:style w:type="paragraph" w:styleId="Sumrio5">
    <w:name w:val="TOC 5"/>
    <w:basedOn w:val="Normal"/>
    <w:next w:val="Normal"/>
    <w:autoRedefine/>
    <w:uiPriority w:val="39"/>
    <w:unhideWhenUsed/>
    <w:rsid w:val="00831c8e"/>
    <w:pPr>
      <w:ind w:left="880" w:hanging="0"/>
    </w:pPr>
    <w:rPr>
      <w:rFonts w:ascii="Calibri" w:hAnsi="Calibri" w:cs="Calibri" w:asciiTheme="minorHAnsi" w:cstheme="minorHAnsi" w:hAnsiTheme="minorHAnsi"/>
      <w:sz w:val="20"/>
      <w:szCs w:val="20"/>
    </w:rPr>
  </w:style>
  <w:style w:type="paragraph" w:styleId="Sumrio6">
    <w:name w:val="TOC 6"/>
    <w:basedOn w:val="Normal"/>
    <w:next w:val="Normal"/>
    <w:autoRedefine/>
    <w:uiPriority w:val="39"/>
    <w:unhideWhenUsed/>
    <w:rsid w:val="00831c8e"/>
    <w:pPr>
      <w:ind w:left="1100" w:hanging="0"/>
    </w:pPr>
    <w:rPr>
      <w:rFonts w:ascii="Calibri" w:hAnsi="Calibri" w:cs="Calibri" w:asciiTheme="minorHAnsi" w:cstheme="minorHAnsi" w:hAnsiTheme="minorHAnsi"/>
      <w:sz w:val="20"/>
      <w:szCs w:val="20"/>
    </w:rPr>
  </w:style>
  <w:style w:type="paragraph" w:styleId="Sumrio7">
    <w:name w:val="TOC 7"/>
    <w:basedOn w:val="Normal"/>
    <w:next w:val="Normal"/>
    <w:autoRedefine/>
    <w:uiPriority w:val="39"/>
    <w:unhideWhenUsed/>
    <w:rsid w:val="00831c8e"/>
    <w:pPr>
      <w:ind w:left="1320" w:hanging="0"/>
    </w:pPr>
    <w:rPr>
      <w:rFonts w:ascii="Calibri" w:hAnsi="Calibri" w:cs="Calibri" w:asciiTheme="minorHAnsi" w:cstheme="minorHAnsi" w:hAnsiTheme="minorHAnsi"/>
      <w:sz w:val="20"/>
      <w:szCs w:val="20"/>
    </w:rPr>
  </w:style>
  <w:style w:type="paragraph" w:styleId="Sumrio8">
    <w:name w:val="TOC 8"/>
    <w:basedOn w:val="Normal"/>
    <w:next w:val="Normal"/>
    <w:autoRedefine/>
    <w:uiPriority w:val="39"/>
    <w:unhideWhenUsed/>
    <w:rsid w:val="00831c8e"/>
    <w:pPr>
      <w:ind w:left="1540" w:hanging="0"/>
    </w:pPr>
    <w:rPr>
      <w:rFonts w:ascii="Calibri" w:hAnsi="Calibri" w:cs="Calibri" w:asciiTheme="minorHAnsi" w:cstheme="minorHAnsi" w:hAnsiTheme="minorHAnsi"/>
      <w:sz w:val="20"/>
      <w:szCs w:val="20"/>
    </w:rPr>
  </w:style>
  <w:style w:type="paragraph" w:styleId="Sumrio9">
    <w:name w:val="TOC 9"/>
    <w:basedOn w:val="Normal"/>
    <w:next w:val="Normal"/>
    <w:autoRedefine/>
    <w:uiPriority w:val="39"/>
    <w:unhideWhenUsed/>
    <w:rsid w:val="00831c8e"/>
    <w:pPr>
      <w:ind w:left="1760" w:hanging="0"/>
    </w:pPr>
    <w:rPr>
      <w:rFonts w:ascii="Calibri" w:hAnsi="Calibri" w:cs="Calibri" w:asciiTheme="minorHAnsi" w:cstheme="minorHAnsi" w:hAnsiTheme="minorHAnsi"/>
      <w:sz w:val="20"/>
      <w:szCs w:val="20"/>
    </w:rPr>
  </w:style>
  <w:style w:type="paragraph" w:styleId="CabealhoeRodap">
    <w:name w:val="Cabeçalho e Rodapé"/>
    <w:basedOn w:val="Normal"/>
    <w:qFormat/>
    <w:pPr/>
    <w:rPr/>
  </w:style>
  <w:style w:type="paragraph" w:styleId="Cabealho">
    <w:name w:val="Header"/>
    <w:basedOn w:val="Normal"/>
    <w:link w:val="CabealhoChar"/>
    <w:uiPriority w:val="99"/>
    <w:unhideWhenUsed/>
    <w:rsid w:val="005219e4"/>
    <w:pPr>
      <w:tabs>
        <w:tab w:val="clear" w:pos="708"/>
        <w:tab w:val="center" w:pos="4252" w:leader="none"/>
        <w:tab w:val="right" w:pos="8504" w:leader="none"/>
      </w:tabs>
    </w:pPr>
    <w:rPr/>
  </w:style>
  <w:style w:type="paragraph" w:styleId="Rodap">
    <w:name w:val="Footer"/>
    <w:basedOn w:val="Normal"/>
    <w:link w:val="RodapChar"/>
    <w:uiPriority w:val="99"/>
    <w:unhideWhenUsed/>
    <w:rsid w:val="005219e4"/>
    <w:pPr>
      <w:tabs>
        <w:tab w:val="clear" w:pos="708"/>
        <w:tab w:val="center" w:pos="4252" w:leader="none"/>
        <w:tab w:val="right" w:pos="8504" w:leader="none"/>
      </w:tabs>
    </w:pPr>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rsid w:val="00d5163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yperlink" Target="http://www.ifg.edu.br/attachments/article/1279/Dissertacao-Thabio-de-Almeida-Silva-2017-(.pdf11.431kb).pdf" TargetMode="External"/><Relationship Id="rId7" Type="http://schemas.openxmlformats.org/officeDocument/2006/relationships/hyperlink" Target="http://www.librasgerais.com.br/materiais-inclusivos/downloads/libras-contexto-" TargetMode="External"/><Relationship Id="rId8" Type="http://schemas.openxmlformats.org/officeDocument/2006/relationships/hyperlink" Target="http://www.librasgerais.com.br/materiais-inclusivos/downloads/libras-contexto-" TargetMode="External"/><Relationship Id="rId9" Type="http://schemas.openxmlformats.org/officeDocument/2006/relationships/hyperlink" Target="http://www.lume.ufrgs.br/handle/10183/32311" TargetMode="External"/><Relationship Id="rId10" Type="http://schemas.openxmlformats.org/officeDocument/2006/relationships/hyperlink" Target="http://palhoca.ifsc.edu.br/materiais/apostila-libras-basico/Apostila_Libras_Basico_IFSC-Palhoca-Bilingue.pdf" TargetMode="External"/><Relationship Id="rId11" Type="http://schemas.openxmlformats.org/officeDocument/2006/relationships/hyperlink" Target="http://www.librasgerais.com.br/materiais-inclusivos/downloads/libras-contexto-" TargetMode="External"/><Relationship Id="rId12" Type="http://schemas.openxmlformats.org/officeDocument/2006/relationships/hyperlink" Target="http://portal.mec.gov.br/seesp/arquivos/pdf/tradutorlibras.pdf" TargetMode="Externa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9A585-D709-2D4D-AB91-2BC93ACA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Application>LibreOffice/7.2.5.2$Windows_X86_64 LibreOffice_project/499f9727c189e6ef3471021d6132d4c694f357e5</Application>
  <AppVersion>15.0000</AppVersion>
  <Pages>43</Pages>
  <Words>14541</Words>
  <Characters>86029</Characters>
  <CharactersWithSpaces>99935</CharactersWithSpaces>
  <Paragraphs>792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2026-03-18T13:54:00Z</dcterms:created>
  <dc:creator>Fabiano Lima</dc:creator>
  <dc:description/>
  <dc:language>pt-BR</dc:language>
  <cp:lastModifiedBy>Fabiano Lima</cp:lastModifiedBy>
  <dcterms:modified xsi:type="dcterms:W3CDTF">2026-05-14T19:57:00Z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