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807" w:rsidRDefault="00B36512">
      <w:pPr>
        <w:spacing w:after="0"/>
        <w:ind w:left="4251"/>
      </w:pPr>
      <w:r>
        <w:rPr>
          <w:b/>
          <w:sz w:val="28"/>
        </w:rPr>
        <w:t xml:space="preserve"> </w:t>
      </w:r>
    </w:p>
    <w:p w:rsidR="00B23807" w:rsidRDefault="00B36512">
      <w:pPr>
        <w:spacing w:after="38"/>
        <w:ind w:right="-15"/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B23807" w:rsidRDefault="00B36512">
      <w:pPr>
        <w:spacing w:after="0"/>
        <w:ind w:left="2456" w:right="125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5028514</wp:posOffset>
            </wp:positionH>
            <wp:positionV relativeFrom="paragraph">
              <wp:posOffset>-149858</wp:posOffset>
            </wp:positionV>
            <wp:extent cx="652145" cy="810895"/>
            <wp:effectExtent l="0" t="0" r="0" b="0"/>
            <wp:wrapSquare wrapText="bothSides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-685</wp:posOffset>
            </wp:positionH>
            <wp:positionV relativeFrom="paragraph">
              <wp:posOffset>-46226</wp:posOffset>
            </wp:positionV>
            <wp:extent cx="630555" cy="696595"/>
            <wp:effectExtent l="0" t="0" r="0" b="0"/>
            <wp:wrapSquare wrapText="bothSides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SERVIÇO PÚBLICO FEDERAL </w:t>
      </w:r>
    </w:p>
    <w:p w:rsidR="00B23807" w:rsidRDefault="00B36512">
      <w:pPr>
        <w:spacing w:after="0"/>
        <w:ind w:left="2456" w:right="1258" w:hanging="10"/>
      </w:pPr>
      <w:r>
        <w:rPr>
          <w:b/>
        </w:rPr>
        <w:t xml:space="preserve">UNIVERSIDADE FEDERAL DE GOIÁS </w:t>
      </w:r>
    </w:p>
    <w:p w:rsidR="00B23807" w:rsidRDefault="00B36512">
      <w:pPr>
        <w:spacing w:after="0"/>
        <w:ind w:left="2456" w:right="1258" w:hanging="10"/>
      </w:pPr>
      <w:r>
        <w:rPr>
          <w:b/>
        </w:rPr>
        <w:t>INSTITUTO DE CIÊNCIAS BIOLÓGICAS</w:t>
      </w:r>
      <w:r>
        <w:rPr>
          <w:b/>
        </w:rPr>
        <w:t xml:space="preserve"> </w:t>
      </w:r>
    </w:p>
    <w:p w:rsidR="00B23807" w:rsidRDefault="00B36512">
      <w:pPr>
        <w:spacing w:after="0"/>
        <w:ind w:left="2456" w:right="1258" w:hanging="10"/>
      </w:pPr>
      <w:r>
        <w:rPr>
          <w:b/>
        </w:rPr>
        <w:t xml:space="preserve">PROGRAMA DE PÓS-GRADUAÇÃO </w:t>
      </w:r>
    </w:p>
    <w:p w:rsidR="00B23807" w:rsidRDefault="00B36512">
      <w:pPr>
        <w:spacing w:after="0"/>
        <w:ind w:left="2456" w:right="1258" w:hanging="10"/>
      </w:pPr>
      <w:r>
        <w:rPr>
          <w:b/>
        </w:rPr>
        <w:t xml:space="preserve">EM GENÉTICA E BIOLOGIA MOLECULAR </w:t>
      </w:r>
    </w:p>
    <w:p w:rsidR="00B23807" w:rsidRDefault="00B36512">
      <w:pPr>
        <w:spacing w:after="0"/>
        <w:ind w:left="4251"/>
      </w:pPr>
      <w:r>
        <w:rPr>
          <w:b/>
        </w:rPr>
        <w:t xml:space="preserve"> </w:t>
      </w:r>
    </w:p>
    <w:p w:rsidR="00B23807" w:rsidRDefault="00B36512">
      <w:pPr>
        <w:spacing w:after="60" w:line="239" w:lineRule="auto"/>
        <w:ind w:left="3418" w:right="763" w:hanging="2655"/>
      </w:pPr>
      <w:r>
        <w:rPr>
          <w:b/>
          <w:sz w:val="18"/>
        </w:rPr>
        <w:t>Fones: (62) 3521-1203 – Caixa Postal 131</w:t>
      </w:r>
      <w:r>
        <w:rPr>
          <w:sz w:val="18"/>
        </w:rPr>
        <w:t xml:space="preserve">, </w:t>
      </w:r>
      <w:r>
        <w:rPr>
          <w:b/>
          <w:i/>
          <w:sz w:val="18"/>
        </w:rPr>
        <w:t xml:space="preserve">Campus </w:t>
      </w:r>
      <w:r>
        <w:rPr>
          <w:b/>
          <w:sz w:val="18"/>
        </w:rPr>
        <w:t xml:space="preserve">Samambaia – CEP 74001-970 – Goiânia, GO </w:t>
      </w:r>
      <w:hyperlink r:id="rId6">
        <w:r>
          <w:rPr>
            <w:b/>
            <w:color w:val="0000FF"/>
            <w:sz w:val="18"/>
            <w:u w:val="single" w:color="0000FF"/>
          </w:rPr>
          <w:t>www.icb.ufg.br/pgbm</w:t>
        </w:r>
      </w:hyperlink>
      <w:hyperlink r:id="rId7">
        <w:r>
          <w:rPr>
            <w:b/>
            <w:sz w:val="18"/>
          </w:rPr>
          <w:t xml:space="preserve"> </w:t>
        </w:r>
      </w:hyperlink>
    </w:p>
    <w:p w:rsidR="00B23807" w:rsidRDefault="00B36512">
      <w:pPr>
        <w:spacing w:after="0"/>
        <w:ind w:left="4251"/>
      </w:pPr>
      <w:r>
        <w:rPr>
          <w:sz w:val="24"/>
        </w:rPr>
        <w:t xml:space="preserve"> </w:t>
      </w:r>
    </w:p>
    <w:p w:rsidR="00B23807" w:rsidRDefault="00B36512">
      <w:pPr>
        <w:spacing w:after="27"/>
      </w:pPr>
      <w:r>
        <w:rPr>
          <w:sz w:val="24"/>
        </w:rPr>
        <w:t xml:space="preserve"> </w:t>
      </w:r>
    </w:p>
    <w:p w:rsidR="00B23807" w:rsidRDefault="00B36512">
      <w:pPr>
        <w:spacing w:after="0"/>
        <w:ind w:left="703"/>
      </w:pPr>
      <w:r>
        <w:rPr>
          <w:rFonts w:ascii="Verdana" w:eastAsia="Verdana" w:hAnsi="Verdana" w:cs="Verdana"/>
          <w:b/>
          <w:sz w:val="28"/>
        </w:rPr>
        <w:t>PROGRAMA E BIBLIOGRAFIA RECOMENDADA</w:t>
      </w:r>
      <w:r>
        <w:rPr>
          <w:rFonts w:ascii="Verdana" w:eastAsia="Verdana" w:hAnsi="Verdana" w:cs="Verdana"/>
          <w:sz w:val="28"/>
        </w:rPr>
        <w:t xml:space="preserve"> </w:t>
      </w:r>
    </w:p>
    <w:p w:rsidR="00B23807" w:rsidRDefault="00B36512">
      <w:pPr>
        <w:spacing w:after="0" w:line="240" w:lineRule="auto"/>
        <w:ind w:left="3423" w:right="11" w:hanging="3401"/>
      </w:pPr>
      <w:r>
        <w:rPr>
          <w:b/>
          <w:sz w:val="23"/>
        </w:rPr>
        <w:t xml:space="preserve">SELEÇÃO AO PROGRAMA DE PÓS-GRADUAÇÃO EM GENÉTICA E BIOLOGIA MOLECULAR – </w:t>
      </w:r>
      <w:r w:rsidR="00253125" w:rsidRPr="00253125">
        <w:rPr>
          <w:b/>
          <w:bCs/>
          <w:sz w:val="24"/>
        </w:rPr>
        <w:t>JANEIRO</w:t>
      </w:r>
      <w:r w:rsidRPr="00253125">
        <w:rPr>
          <w:b/>
          <w:bCs/>
          <w:sz w:val="24"/>
        </w:rPr>
        <w:t>/202</w:t>
      </w:r>
      <w:r w:rsidR="00253125" w:rsidRPr="00253125">
        <w:rPr>
          <w:b/>
          <w:bCs/>
          <w:sz w:val="24"/>
        </w:rPr>
        <w:t>2</w:t>
      </w:r>
      <w:r>
        <w:rPr>
          <w:b/>
          <w:sz w:val="23"/>
        </w:rPr>
        <w:t xml:space="preserve"> </w:t>
      </w:r>
    </w:p>
    <w:p w:rsidR="00B23807" w:rsidRDefault="00B36512">
      <w:pPr>
        <w:spacing w:after="0"/>
        <w:ind w:left="4251"/>
      </w:pPr>
      <w:r>
        <w:rPr>
          <w:sz w:val="23"/>
        </w:rPr>
        <w:t xml:space="preserve"> </w:t>
      </w:r>
    </w:p>
    <w:p w:rsidR="00B23807" w:rsidRDefault="00B36512" w:rsidP="003A08DC">
      <w:pPr>
        <w:spacing w:after="0" w:line="248" w:lineRule="auto"/>
        <w:ind w:left="-5" w:right="411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Para o nível de MESTRADO, serão exigidos conhecimentos gerais de conteúdos relacionados com as linhas de pesquisa do Programa, listados a seguir: </w:t>
      </w:r>
    </w:p>
    <w:p w:rsidR="00B23807" w:rsidRDefault="00B36512" w:rsidP="003A08DC">
      <w:pPr>
        <w:spacing w:after="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23807" w:rsidRDefault="00B36512" w:rsidP="003A08DC">
      <w:pPr>
        <w:spacing w:after="0" w:line="248" w:lineRule="auto"/>
        <w:ind w:left="-5" w:right="1311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Genética e Biologia Molecular - </w:t>
      </w:r>
      <w:r>
        <w:rPr>
          <w:rFonts w:ascii="Times New Roman" w:eastAsia="Times New Roman" w:hAnsi="Times New Roman" w:cs="Times New Roman"/>
          <w:sz w:val="23"/>
        </w:rPr>
        <w:t xml:space="preserve">Bases citológicas da herança; genética mendeliana; extensões da genética mendeliana, mapeamento cromossômico em eucariontes; determinação do sexo e cromossomos sexuais; mutações cromossômicas em larga escala e herança </w:t>
      </w:r>
      <w:proofErr w:type="spellStart"/>
      <w:r>
        <w:rPr>
          <w:rFonts w:ascii="Times New Roman" w:eastAsia="Times New Roman" w:hAnsi="Times New Roman" w:cs="Times New Roman"/>
          <w:sz w:val="23"/>
        </w:rPr>
        <w:t>extranuclear</w:t>
      </w:r>
      <w:proofErr w:type="spellEnd"/>
      <w:r>
        <w:rPr>
          <w:rFonts w:ascii="Times New Roman" w:eastAsia="Times New Roman" w:hAnsi="Times New Roman" w:cs="Times New Roman"/>
          <w:sz w:val="23"/>
        </w:rPr>
        <w:t>. Mecanismos moleculares e</w:t>
      </w:r>
      <w:r>
        <w:rPr>
          <w:rFonts w:ascii="Times New Roman" w:eastAsia="Times New Roman" w:hAnsi="Times New Roman" w:cs="Times New Roman"/>
          <w:sz w:val="23"/>
        </w:rPr>
        <w:t xml:space="preserve">nvolvidos nos processos de replicação do DNA, transcrição e processamento do RNA. Síntese proteica, endereçamento de proteínas, regulação da expressão gênica e elementos de organização e funcionamento do genoma, tais como </w:t>
      </w:r>
      <w:proofErr w:type="spellStart"/>
      <w:r>
        <w:rPr>
          <w:rFonts w:ascii="Times New Roman" w:eastAsia="Times New Roman" w:hAnsi="Times New Roman" w:cs="Times New Roman"/>
          <w:sz w:val="23"/>
        </w:rPr>
        <w:t>transposons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RNA de interferência </w:t>
      </w:r>
      <w:r>
        <w:rPr>
          <w:rFonts w:ascii="Times New Roman" w:eastAsia="Times New Roman" w:hAnsi="Times New Roman" w:cs="Times New Roman"/>
          <w:sz w:val="23"/>
        </w:rPr>
        <w:t xml:space="preserve">e regulação epigenética. Vias de Transdução de Sinal. </w:t>
      </w:r>
    </w:p>
    <w:p w:rsidR="00B23807" w:rsidRDefault="00B36512" w:rsidP="003A08DC">
      <w:pPr>
        <w:spacing w:after="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23807" w:rsidRDefault="00B36512" w:rsidP="003A08DC">
      <w:pPr>
        <w:spacing w:after="0" w:line="248" w:lineRule="auto"/>
        <w:ind w:left="-5" w:right="411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Bibliografia recomenda: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23807" w:rsidRDefault="00B36512" w:rsidP="003A08DC">
      <w:pPr>
        <w:spacing w:after="0" w:line="248" w:lineRule="auto"/>
        <w:ind w:left="-5" w:right="1311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Alberts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B.; Johnson, A.; Lewis, J.; </w:t>
      </w:r>
      <w:proofErr w:type="spellStart"/>
      <w:r>
        <w:rPr>
          <w:rFonts w:ascii="Times New Roman" w:eastAsia="Times New Roman" w:hAnsi="Times New Roman" w:cs="Times New Roman"/>
          <w:sz w:val="23"/>
        </w:rPr>
        <w:t>Raff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M.; Roberts, K.; Walter, P. (2004) </w:t>
      </w:r>
      <w:r>
        <w:rPr>
          <w:rFonts w:ascii="Times New Roman" w:eastAsia="Times New Roman" w:hAnsi="Times New Roman" w:cs="Times New Roman"/>
          <w:i/>
          <w:sz w:val="23"/>
        </w:rPr>
        <w:t>Biologia Molecular da Célula</w:t>
      </w:r>
      <w:r>
        <w:rPr>
          <w:rFonts w:ascii="Times New Roman" w:eastAsia="Times New Roman" w:hAnsi="Times New Roman" w:cs="Times New Roman"/>
          <w:sz w:val="23"/>
        </w:rPr>
        <w:t xml:space="preserve">. 4ª ed. Artmed, Porto Alegre, RS. 1584p.  </w:t>
      </w:r>
    </w:p>
    <w:p w:rsidR="00B23807" w:rsidRDefault="00B36512" w:rsidP="003A08DC">
      <w:pPr>
        <w:spacing w:after="0" w:line="248" w:lineRule="auto"/>
        <w:ind w:left="-5" w:right="131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Klug, W.S.; </w:t>
      </w:r>
      <w:proofErr w:type="spellStart"/>
      <w:r>
        <w:rPr>
          <w:rFonts w:ascii="Times New Roman" w:eastAsia="Times New Roman" w:hAnsi="Times New Roman" w:cs="Times New Roman"/>
          <w:sz w:val="23"/>
        </w:rPr>
        <w:t>Cummings</w:t>
      </w:r>
      <w:proofErr w:type="spellEnd"/>
      <w:r>
        <w:rPr>
          <w:rFonts w:ascii="Times New Roman" w:eastAsia="Times New Roman" w:hAnsi="Times New Roman" w:cs="Times New Roman"/>
          <w:sz w:val="23"/>
        </w:rPr>
        <w:t>, M</w:t>
      </w:r>
      <w:r>
        <w:rPr>
          <w:rFonts w:ascii="Times New Roman" w:eastAsia="Times New Roman" w:hAnsi="Times New Roman" w:cs="Times New Roman"/>
          <w:sz w:val="23"/>
        </w:rPr>
        <w:t xml:space="preserve">.R.; Spencer, C.A.; </w:t>
      </w:r>
      <w:proofErr w:type="spellStart"/>
      <w:r>
        <w:rPr>
          <w:rFonts w:ascii="Times New Roman" w:eastAsia="Times New Roman" w:hAnsi="Times New Roman" w:cs="Times New Roman"/>
          <w:sz w:val="23"/>
        </w:rPr>
        <w:t>Palladino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M.A. (2010) </w:t>
      </w:r>
      <w:r>
        <w:rPr>
          <w:rFonts w:ascii="Times New Roman" w:eastAsia="Times New Roman" w:hAnsi="Times New Roman" w:cs="Times New Roman"/>
          <w:i/>
          <w:sz w:val="23"/>
        </w:rPr>
        <w:t>Conceitos de genética</w:t>
      </w:r>
      <w:r>
        <w:rPr>
          <w:rFonts w:ascii="Times New Roman" w:eastAsia="Times New Roman" w:hAnsi="Times New Roman" w:cs="Times New Roman"/>
          <w:sz w:val="23"/>
        </w:rPr>
        <w:t>. 9ª edição</w:t>
      </w:r>
      <w:r>
        <w:rPr>
          <w:rFonts w:ascii="Times New Roman" w:eastAsia="Times New Roman" w:hAnsi="Times New Roman" w:cs="Times New Roman"/>
          <w:b/>
          <w:sz w:val="23"/>
        </w:rPr>
        <w:t xml:space="preserve">. </w:t>
      </w:r>
      <w:r>
        <w:rPr>
          <w:rFonts w:ascii="Times New Roman" w:eastAsia="Times New Roman" w:hAnsi="Times New Roman" w:cs="Times New Roman"/>
          <w:sz w:val="23"/>
        </w:rPr>
        <w:t xml:space="preserve">Artmed, Porto Alegre, RS. 863p.  </w:t>
      </w:r>
    </w:p>
    <w:p w:rsidR="00B23807" w:rsidRDefault="00B36512" w:rsidP="003A08DC">
      <w:pPr>
        <w:spacing w:after="0" w:line="248" w:lineRule="auto"/>
        <w:ind w:left="-5" w:right="131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Lewin, B. </w:t>
      </w:r>
      <w:r>
        <w:rPr>
          <w:rFonts w:ascii="Times New Roman" w:eastAsia="Times New Roman" w:hAnsi="Times New Roman" w:cs="Times New Roman"/>
          <w:i/>
          <w:sz w:val="23"/>
        </w:rPr>
        <w:t>Genes IX</w:t>
      </w:r>
      <w:r>
        <w:rPr>
          <w:rFonts w:ascii="Times New Roman" w:eastAsia="Times New Roman" w:hAnsi="Times New Roman" w:cs="Times New Roman"/>
          <w:sz w:val="23"/>
        </w:rPr>
        <w:t xml:space="preserve">. Porto Alegre, Editora Artes Médicas, 2009.  </w:t>
      </w:r>
    </w:p>
    <w:p w:rsidR="00B23807" w:rsidRDefault="00B36512" w:rsidP="003A08DC">
      <w:pPr>
        <w:spacing w:after="0" w:line="248" w:lineRule="auto"/>
        <w:ind w:left="-5" w:right="1311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Snustad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P. &amp; Simmons, M.J. (2008) </w:t>
      </w:r>
      <w:r>
        <w:rPr>
          <w:rFonts w:ascii="Times New Roman" w:eastAsia="Times New Roman" w:hAnsi="Times New Roman" w:cs="Times New Roman"/>
          <w:i/>
          <w:sz w:val="23"/>
        </w:rPr>
        <w:t xml:space="preserve">Fundamentos de Genética. </w:t>
      </w:r>
      <w:r>
        <w:rPr>
          <w:rFonts w:ascii="Times New Roman" w:eastAsia="Times New Roman" w:hAnsi="Times New Roman" w:cs="Times New Roman"/>
          <w:sz w:val="23"/>
        </w:rPr>
        <w:t>4ª ed. Guanabara Koo</w:t>
      </w:r>
      <w:r>
        <w:rPr>
          <w:rFonts w:ascii="Times New Roman" w:eastAsia="Times New Roman" w:hAnsi="Times New Roman" w:cs="Times New Roman"/>
          <w:sz w:val="23"/>
        </w:rPr>
        <w:t xml:space="preserve">gan, Rio de Janeiro, RJ. 778p.  </w:t>
      </w:r>
    </w:p>
    <w:p w:rsidR="00B23807" w:rsidRDefault="00B36512" w:rsidP="003A08DC">
      <w:pPr>
        <w:spacing w:after="10" w:line="249" w:lineRule="auto"/>
        <w:ind w:left="-5" w:right="88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Lewin, B. Genes X. Oxford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Press, Inc., New York. 2012 </w:t>
      </w:r>
    </w:p>
    <w:p w:rsidR="00B23807" w:rsidRDefault="00B36512" w:rsidP="003A08DC">
      <w:pPr>
        <w:spacing w:after="10" w:line="249" w:lineRule="auto"/>
        <w:ind w:left="-5" w:right="88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Pierce, B.A. Genética Um Enfoque Conceitual. RJ: Guanabara Koogan, 2011. </w:t>
      </w:r>
    </w:p>
    <w:p w:rsidR="00B23807" w:rsidRDefault="00B36512" w:rsidP="003A08DC">
      <w:pPr>
        <w:spacing w:after="10" w:line="249" w:lineRule="auto"/>
        <w:ind w:left="-5" w:right="889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Griffiths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A.J.F.; </w:t>
      </w:r>
      <w:proofErr w:type="spellStart"/>
      <w:r>
        <w:rPr>
          <w:rFonts w:ascii="Times New Roman" w:eastAsia="Times New Roman" w:hAnsi="Times New Roman" w:cs="Times New Roman"/>
          <w:sz w:val="24"/>
        </w:rPr>
        <w:t>Gelbart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W.M.; Miller, J.H.; </w:t>
      </w:r>
      <w:proofErr w:type="spellStart"/>
      <w:r>
        <w:rPr>
          <w:rFonts w:ascii="Times New Roman" w:eastAsia="Times New Roman" w:hAnsi="Times New Roman" w:cs="Times New Roman"/>
          <w:sz w:val="24"/>
        </w:rPr>
        <w:t>Lewontin</w:t>
      </w:r>
      <w:proofErr w:type="spellEnd"/>
      <w:r>
        <w:rPr>
          <w:rFonts w:ascii="Times New Roman" w:eastAsia="Times New Roman" w:hAnsi="Times New Roman" w:cs="Times New Roman"/>
          <w:sz w:val="24"/>
        </w:rPr>
        <w:t>, R.C. Genética Moderna. Ri</w:t>
      </w:r>
      <w:r>
        <w:rPr>
          <w:rFonts w:ascii="Times New Roman" w:eastAsia="Times New Roman" w:hAnsi="Times New Roman" w:cs="Times New Roman"/>
          <w:sz w:val="24"/>
        </w:rPr>
        <w:t xml:space="preserve">o de Janeiro, Guanabara Koogan RJ; 2010. </w:t>
      </w:r>
    </w:p>
    <w:p w:rsidR="00B23807" w:rsidRDefault="00B36512" w:rsidP="003A08DC">
      <w:pPr>
        <w:spacing w:after="10" w:line="249" w:lineRule="auto"/>
        <w:ind w:left="-5" w:right="88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Watson, JD. et al. DNA Recombinante: Genes e Genoma. 3ª edição. Porto Alegre, Artmed, 2009. </w:t>
      </w:r>
    </w:p>
    <w:sectPr w:rsidR="00B23807">
      <w:pgSz w:w="11906" w:h="16838"/>
      <w:pgMar w:top="1440" w:right="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07"/>
    <w:rsid w:val="00253125"/>
    <w:rsid w:val="003A08DC"/>
    <w:rsid w:val="00B23807"/>
    <w:rsid w:val="00B36512"/>
    <w:rsid w:val="00F1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9003A"/>
  <w15:docId w15:val="{7A4ED0BB-AAC6-6040-9676-0534ADB3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://www.icb.ufg.br/pgb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icb.ufg.br/pgbm" TargetMode="External" /><Relationship Id="rId5" Type="http://schemas.openxmlformats.org/officeDocument/2006/relationships/image" Target="media/image2.png" /><Relationship Id="rId4" Type="http://schemas.openxmlformats.org/officeDocument/2006/relationships/image" Target="media/image1.jp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</dc:creator>
  <cp:keywords/>
  <cp:lastModifiedBy>Lília Fernanda</cp:lastModifiedBy>
  <cp:revision>2</cp:revision>
  <dcterms:created xsi:type="dcterms:W3CDTF">2022-01-03T22:06:00Z</dcterms:created>
  <dcterms:modified xsi:type="dcterms:W3CDTF">2022-01-03T22:06:00Z</dcterms:modified>
</cp:coreProperties>
</file>