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MINISTÉRIO DA EDUCAÇÃO</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824230" cy="795655"/>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24230" cy="7956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4804366</wp:posOffset>
            </wp:positionH>
            <wp:positionV relativeFrom="paragraph">
              <wp:posOffset>-99002</wp:posOffset>
            </wp:positionV>
            <wp:extent cx="689377" cy="856961"/>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89377" cy="856961"/>
                    </a:xfrm>
                    <a:prstGeom prst="rect"/>
                    <a:ln/>
                  </pic:spPr>
                </pic:pic>
              </a:graphicData>
            </a:graphic>
          </wp:anchor>
        </w:drawing>
      </w:r>
    </w:p>
    <w:p w:rsidR="00000000" w:rsidDel="00000000" w:rsidP="00000000" w:rsidRDefault="00000000" w:rsidRPr="00000000" w14:paraId="00000001">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UNIVERSIDADE FEDERAL DE GOIÁS</w:t>
      </w:r>
    </w:p>
    <w:p w:rsidR="00000000" w:rsidDel="00000000" w:rsidP="00000000" w:rsidRDefault="00000000" w:rsidRPr="00000000" w14:paraId="00000002">
      <w:pPr>
        <w:spacing w:after="0"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ESCOLA DE AGRONOMIA</w:t>
      </w:r>
    </w:p>
    <w:p w:rsidR="00000000" w:rsidDel="00000000" w:rsidP="00000000" w:rsidRDefault="00000000" w:rsidRPr="00000000" w14:paraId="00000003">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PROGRAMA DE PÓS-GRADUAÇÃO</w:t>
      </w:r>
    </w:p>
    <w:p w:rsidR="00000000" w:rsidDel="00000000" w:rsidP="00000000" w:rsidRDefault="00000000" w:rsidRPr="00000000" w14:paraId="00000004">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EM GENÉTICA E MELHORAMENTO DE PLANTAS</w:t>
      </w:r>
    </w:p>
    <w:p w:rsidR="00000000" w:rsidDel="00000000" w:rsidP="00000000" w:rsidRDefault="00000000" w:rsidRPr="00000000" w14:paraId="00000005">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Escola de Agronomia – UFG</w:t>
      </w:r>
    </w:p>
    <w:p w:rsidR="00000000" w:rsidDel="00000000" w:rsidP="00000000" w:rsidRDefault="00000000" w:rsidRPr="00000000" w14:paraId="00000007">
      <w:pP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Av. Esperança s/n, Campus</w:t>
      </w:r>
      <w:r w:rsidDel="00000000" w:rsidR="00000000" w:rsidRPr="00000000">
        <w:rPr>
          <w:rFonts w:ascii="Calibri" w:cs="Calibri" w:eastAsia="Calibri" w:hAnsi="Calibri"/>
          <w:b w:val="1"/>
          <w:i w:val="1"/>
          <w:sz w:val="18"/>
          <w:szCs w:val="18"/>
          <w:rtl w:val="0"/>
        </w:rPr>
        <w:t xml:space="preserve"> </w:t>
      </w:r>
      <w:r w:rsidDel="00000000" w:rsidR="00000000" w:rsidRPr="00000000">
        <w:rPr>
          <w:rFonts w:ascii="Calibri" w:cs="Calibri" w:eastAsia="Calibri" w:hAnsi="Calibri"/>
          <w:b w:val="1"/>
          <w:sz w:val="18"/>
          <w:szCs w:val="18"/>
          <w:rtl w:val="0"/>
        </w:rPr>
        <w:t xml:space="preserve">Samambaia, Goiânia-GO, CEP: 74690-900</w:t>
      </w:r>
    </w:p>
    <w:p w:rsidR="00000000" w:rsidDel="00000000" w:rsidP="00000000" w:rsidRDefault="00000000" w:rsidRPr="00000000" w14:paraId="00000008">
      <w:pP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Fone: (62) 3521-1687 – e-mail: pgmp.ufg@gmail.com</w:t>
      </w:r>
    </w:p>
    <w:p w:rsidR="00000000" w:rsidDel="00000000" w:rsidP="00000000" w:rsidRDefault="00000000" w:rsidRPr="00000000" w14:paraId="00000009">
      <w:pPr>
        <w:spacing w:after="0" w:line="240" w:lineRule="auto"/>
        <w:contextualSpacing w:val="0"/>
        <w:jc w:val="center"/>
        <w:rPr>
          <w:rFonts w:ascii="Calibri" w:cs="Calibri" w:eastAsia="Calibri" w:hAnsi="Calibri"/>
          <w:sz w:val="18"/>
          <w:szCs w:val="18"/>
        </w:rPr>
      </w:pPr>
      <w:hyperlink r:id="rId8">
        <w:r w:rsidDel="00000000" w:rsidR="00000000" w:rsidRPr="00000000">
          <w:rPr>
            <w:rFonts w:ascii="Times New Roman" w:cs="Times New Roman" w:eastAsia="Times New Roman" w:hAnsi="Times New Roman"/>
            <w:color w:val="0000ff"/>
            <w:sz w:val="18"/>
            <w:szCs w:val="18"/>
            <w:u w:val="single"/>
            <w:rtl w:val="0"/>
          </w:rPr>
          <w:t xml:space="preserve">http://pgmp.agro.ufg.br/</w:t>
        </w:r>
      </w:hyperlink>
      <w:r w:rsidDel="00000000" w:rsidR="00000000" w:rsidRPr="00000000">
        <w:rPr>
          <w:rtl w:val="0"/>
        </w:rPr>
      </w:r>
    </w:p>
    <w:p w:rsidR="00000000" w:rsidDel="00000000" w:rsidP="00000000" w:rsidRDefault="00000000" w:rsidRPr="00000000" w14:paraId="0000000A">
      <w:pPr>
        <w:spacing w:after="0" w:before="72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Serão exigidos conhecimentos relacionados com as linhas de pesquisa do Programa, listados a seguir:</w:t>
      </w:r>
    </w:p>
    <w:p w:rsidR="00000000" w:rsidDel="00000000" w:rsidP="00000000" w:rsidRDefault="00000000" w:rsidRPr="00000000" w14:paraId="0000000B">
      <w:pPr>
        <w:pStyle w:val="Heading1"/>
        <w:contextualSpacing w:val="0"/>
        <w:rPr/>
      </w:pPr>
      <w:r w:rsidDel="00000000" w:rsidR="00000000" w:rsidRPr="00000000">
        <w:rPr>
          <w:rtl w:val="0"/>
        </w:rPr>
        <w:t xml:space="preserve">Estatística</w:t>
      </w:r>
    </w:p>
    <w:p w:rsidR="00000000" w:rsidDel="00000000" w:rsidP="00000000" w:rsidRDefault="00000000" w:rsidRPr="00000000" w14:paraId="0000000C">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Definições e conceitos de Estatística. Divisões da Estatística. Variáveis e gráficos. Distribuições de frequência. Parâmetros de tendência central e de dispersão. Probabilidade. Distribuição Binomial. Distribuição de Poisson. Distribuição Normal. Inferência estatística e amostragem. Introdução aos testes de hipóteses. Distribuição e teste </w:t>
      </w:r>
      <w:r w:rsidDel="00000000" w:rsidR="00000000" w:rsidRPr="00000000">
        <w:rPr>
          <w:rFonts w:ascii="Cambria" w:cs="Cambria" w:eastAsia="Cambria" w:hAnsi="Cambria"/>
          <w:i w:val="1"/>
          <w:rtl w:val="0"/>
        </w:rPr>
        <w:t xml:space="preserve">t</w:t>
      </w:r>
      <w:r w:rsidDel="00000000" w:rsidR="00000000" w:rsidRPr="00000000">
        <w:rPr>
          <w:rFonts w:ascii="Cambria" w:cs="Cambria" w:eastAsia="Cambria" w:hAnsi="Cambria"/>
          <w:rtl w:val="0"/>
        </w:rPr>
        <w:t xml:space="preserve"> de Student. Intervalo de confiança. Distribuição e teste de </w:t>
      </w:r>
      <w:r w:rsidDel="00000000" w:rsidR="00000000" w:rsidRPr="00000000">
        <w:rPr>
          <w:rFonts w:ascii="Cambria" w:cs="Cambria" w:eastAsia="Cambria" w:hAnsi="Cambria"/>
          <w:i w:val="1"/>
          <w:rtl w:val="0"/>
        </w:rPr>
        <w:t xml:space="preserve">X</w:t>
      </w:r>
      <w:r w:rsidDel="00000000" w:rsidR="00000000" w:rsidRPr="00000000">
        <w:rPr>
          <w:rFonts w:ascii="Cambria" w:cs="Cambria" w:eastAsia="Cambria" w:hAnsi="Cambria"/>
          <w:i w:val="1"/>
          <w:vertAlign w:val="superscript"/>
          <w:rtl w:val="0"/>
        </w:rPr>
        <w:t xml:space="preserve">2</w:t>
      </w:r>
      <w:r w:rsidDel="00000000" w:rsidR="00000000" w:rsidRPr="00000000">
        <w:rPr>
          <w:rFonts w:ascii="Cambria" w:cs="Cambria" w:eastAsia="Cambria" w:hAnsi="Cambria"/>
          <w:rtl w:val="0"/>
        </w:rPr>
        <w:t xml:space="preserve">. Análise de variância. Regressão. Correlação.</w:t>
      </w:r>
    </w:p>
    <w:p w:rsidR="00000000" w:rsidDel="00000000" w:rsidP="00000000" w:rsidRDefault="00000000" w:rsidRPr="00000000" w14:paraId="0000000D">
      <w:pPr>
        <w:pStyle w:val="Heading1"/>
        <w:contextualSpacing w:val="0"/>
        <w:rPr/>
      </w:pPr>
      <w:r w:rsidDel="00000000" w:rsidR="00000000" w:rsidRPr="00000000">
        <w:rPr>
          <w:rtl w:val="0"/>
        </w:rPr>
        <w:t xml:space="preserve">Genética</w:t>
      </w:r>
    </w:p>
    <w:p w:rsidR="00000000" w:rsidDel="00000000" w:rsidP="00000000" w:rsidRDefault="00000000" w:rsidRPr="00000000" w14:paraId="0000000E">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Herança e ambiente. Bases citológicas da herança (mitose e meiose). Padrões de herança. Alelismo múltiplo. Interação gênica. Epistasia. Ligação gênica. Herança e sexo. Genética Molecular (estrutura e função de ácidos nucleicos, síntese proteica, mutações gênicas). Mutações cromossômicas. Herança extracromossômica. Genética de Populações (frequências gênicas e genotípicas, Equilíbrio de Hardy-Weinberg, fatores evolutivos). Genética Quantitativa (decomposição da variância fenotípica, herdabilidade).</w:t>
      </w:r>
    </w:p>
    <w:p w:rsidR="00000000" w:rsidDel="00000000" w:rsidP="00000000" w:rsidRDefault="00000000" w:rsidRPr="00000000" w14:paraId="0000000F">
      <w:pPr>
        <w:pStyle w:val="Heading1"/>
        <w:contextualSpacing w:val="0"/>
        <w:rPr/>
      </w:pPr>
      <w:r w:rsidDel="00000000" w:rsidR="00000000" w:rsidRPr="00000000">
        <w:rPr>
          <w:rtl w:val="0"/>
        </w:rPr>
        <w:t xml:space="preserve">Melhoramento de Plantas</w:t>
      </w:r>
    </w:p>
    <w:p w:rsidR="00000000" w:rsidDel="00000000" w:rsidP="00000000" w:rsidRDefault="00000000" w:rsidRPr="00000000" w14:paraId="00000010">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O papel do melhoramento de plantas na agricultura. Conservação e uso de recursos genéticos vegetais. Sistemas de reprodução em plantas. Introdução de características monogênicas em cultivares. Melhoramento para obtenção de linhas puras. Melhoramento para obtenção de variedades de polinização aberta. Melhoramento para obtenção de híbridos. Melhoramento para obtenção de clones.</w:t>
      </w:r>
    </w:p>
    <w:p w:rsidR="00000000" w:rsidDel="00000000" w:rsidP="00000000" w:rsidRDefault="00000000" w:rsidRPr="00000000" w14:paraId="00000011">
      <w:pPr>
        <w:spacing w:after="0" w:before="480" w:line="24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A prova escrita será composta de 10 questões (4 de Genética, 3 de Estatística e 3 de Melhoramento de Plantas). O candidato deverá responder a 5 questões, sendo pelo menos uma questão de cada uma das três áreas (Estatística, Genética e Melhoramento de Plantas). É permitido o uso de calculadora durante a prova.</w:t>
      </w:r>
      <w:r w:rsidDel="00000000" w:rsidR="00000000" w:rsidRPr="00000000">
        <w:br w:type="page"/>
      </w:r>
      <w:r w:rsidDel="00000000" w:rsidR="00000000" w:rsidRPr="00000000">
        <w:rPr>
          <w:rtl w:val="0"/>
        </w:rPr>
      </w:r>
    </w:p>
    <w:p w:rsidR="00000000" w:rsidDel="00000000" w:rsidP="00000000" w:rsidRDefault="00000000" w:rsidRPr="00000000" w14:paraId="00000012">
      <w:pPr>
        <w:spacing w:after="720" w:line="240" w:lineRule="auto"/>
        <w:contextualSpacing w:val="0"/>
        <w:jc w:val="center"/>
        <w:rPr>
          <w:b w:val="1"/>
          <w:sz w:val="28"/>
          <w:szCs w:val="28"/>
        </w:rPr>
      </w:pPr>
      <w:r w:rsidDel="00000000" w:rsidR="00000000" w:rsidRPr="00000000">
        <w:rPr>
          <w:b w:val="1"/>
          <w:sz w:val="28"/>
          <w:szCs w:val="28"/>
          <w:rtl w:val="0"/>
        </w:rPr>
        <w:t xml:space="preserve">BIBLIOGRAFIA RECOMENDADA</w:t>
      </w:r>
    </w:p>
    <w:p w:rsidR="00000000" w:rsidDel="00000000" w:rsidP="00000000" w:rsidRDefault="00000000" w:rsidRPr="00000000" w14:paraId="00000013">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BORÉM, A.; MIRANDA, G.V. </w:t>
      </w:r>
      <w:r w:rsidDel="00000000" w:rsidR="00000000" w:rsidRPr="00000000">
        <w:rPr>
          <w:rFonts w:ascii="Cambria" w:cs="Cambria" w:eastAsia="Cambria" w:hAnsi="Cambria"/>
          <w:i w:val="1"/>
          <w:rtl w:val="0"/>
        </w:rPr>
        <w:t xml:space="preserve">Melhoramento de Plantas.</w:t>
      </w:r>
      <w:r w:rsidDel="00000000" w:rsidR="00000000" w:rsidRPr="00000000">
        <w:rPr>
          <w:rFonts w:ascii="Cambria" w:cs="Cambria" w:eastAsia="Cambria" w:hAnsi="Cambria"/>
          <w:rtl w:val="0"/>
        </w:rPr>
        <w:t xml:space="preserve"> 5ª ed. Viçosa: Editora UFV. 2009. 529p.</w:t>
      </w:r>
    </w:p>
    <w:p w:rsidR="00000000" w:rsidDel="00000000" w:rsidP="00000000" w:rsidRDefault="00000000" w:rsidRPr="00000000" w14:paraId="00000014">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DESTRO, D.; MONTALVAN, E. </w:t>
      </w:r>
      <w:r w:rsidDel="00000000" w:rsidR="00000000" w:rsidRPr="00000000">
        <w:rPr>
          <w:rFonts w:ascii="Cambria" w:cs="Cambria" w:eastAsia="Cambria" w:hAnsi="Cambria"/>
          <w:i w:val="1"/>
          <w:rtl w:val="0"/>
        </w:rPr>
        <w:t xml:space="preserve">Melhoramento Genético de Plantas.</w:t>
      </w:r>
      <w:r w:rsidDel="00000000" w:rsidR="00000000" w:rsidRPr="00000000">
        <w:rPr>
          <w:rFonts w:ascii="Cambria" w:cs="Cambria" w:eastAsia="Cambria" w:hAnsi="Cambria"/>
          <w:rtl w:val="0"/>
        </w:rPr>
        <w:t xml:space="preserve"> Londrina: EDUEL. 1999. 820p.</w:t>
      </w:r>
    </w:p>
    <w:p w:rsidR="00000000" w:rsidDel="00000000" w:rsidP="00000000" w:rsidRDefault="00000000" w:rsidRPr="00000000" w14:paraId="00000015">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FERREIRA, D.F. </w:t>
      </w:r>
      <w:r w:rsidDel="00000000" w:rsidR="00000000" w:rsidRPr="00000000">
        <w:rPr>
          <w:rFonts w:ascii="Cambria" w:cs="Cambria" w:eastAsia="Cambria" w:hAnsi="Cambria"/>
          <w:i w:val="1"/>
          <w:rtl w:val="0"/>
        </w:rPr>
        <w:t xml:space="preserve">Estatística Básica.</w:t>
      </w:r>
      <w:r w:rsidDel="00000000" w:rsidR="00000000" w:rsidRPr="00000000">
        <w:rPr>
          <w:rFonts w:ascii="Cambria" w:cs="Cambria" w:eastAsia="Cambria" w:hAnsi="Cambria"/>
          <w:rtl w:val="0"/>
        </w:rPr>
        <w:t xml:space="preserve"> 2ª ed. Lavras: Editora UFLA. 2009. 663p.</w:t>
      </w:r>
    </w:p>
    <w:p w:rsidR="00000000" w:rsidDel="00000000" w:rsidP="00000000" w:rsidRDefault="00000000" w:rsidRPr="00000000" w14:paraId="00000016">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GRIFFITHS, A.J.F., WESSLER, S.R.; CARROLL, S.B.; DOEBLEY, J. </w:t>
      </w:r>
      <w:r w:rsidDel="00000000" w:rsidR="00000000" w:rsidRPr="00000000">
        <w:rPr>
          <w:rFonts w:ascii="Cambria" w:cs="Cambria" w:eastAsia="Cambria" w:hAnsi="Cambria"/>
          <w:i w:val="1"/>
          <w:rtl w:val="0"/>
        </w:rPr>
        <w:t xml:space="preserve">Introdução à Genética.</w:t>
      </w:r>
      <w:r w:rsidDel="00000000" w:rsidR="00000000" w:rsidRPr="00000000">
        <w:rPr>
          <w:rFonts w:ascii="Cambria" w:cs="Cambria" w:eastAsia="Cambria" w:hAnsi="Cambria"/>
          <w:rtl w:val="0"/>
        </w:rPr>
        <w:t xml:space="preserve"> 11ª ed. Rio de Janeiro: Guanabara Koogan. 2016. 780p.</w:t>
      </w:r>
    </w:p>
    <w:p w:rsidR="00000000" w:rsidDel="00000000" w:rsidP="00000000" w:rsidRDefault="00000000" w:rsidRPr="00000000" w14:paraId="00000017">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SOKAL, R.R.; ROHLF, F.J. </w:t>
      </w:r>
      <w:r w:rsidDel="00000000" w:rsidR="00000000" w:rsidRPr="00000000">
        <w:rPr>
          <w:rFonts w:ascii="Cambria" w:cs="Cambria" w:eastAsia="Cambria" w:hAnsi="Cambria"/>
          <w:i w:val="1"/>
          <w:rtl w:val="0"/>
        </w:rPr>
        <w:t xml:space="preserve">Biometry</w:t>
      </w:r>
      <w:r w:rsidDel="00000000" w:rsidR="00000000" w:rsidRPr="00000000">
        <w:rPr>
          <w:rFonts w:ascii="Cambria" w:cs="Cambria" w:eastAsia="Cambria" w:hAnsi="Cambria"/>
          <w:rtl w:val="0"/>
        </w:rPr>
        <w:t xml:space="preserve">. 4ª ed. New York: W. H. Freeman. 2011. 937p.</w:t>
      </w:r>
    </w:p>
    <w:p w:rsidR="00000000" w:rsidDel="00000000" w:rsidP="00000000" w:rsidRDefault="00000000" w:rsidRPr="00000000" w14:paraId="00000018">
      <w:pPr>
        <w:spacing w:after="360" w:line="288" w:lineRule="auto"/>
        <w:ind w:left="425" w:hanging="425"/>
        <w:contextualSpacing w:val="0"/>
        <w:rPr>
          <w:rFonts w:ascii="Cambria" w:cs="Cambria" w:eastAsia="Cambria" w:hAnsi="Cambria"/>
        </w:rPr>
      </w:pPr>
      <w:r w:rsidDel="00000000" w:rsidR="00000000" w:rsidRPr="00000000">
        <w:rPr>
          <w:rFonts w:ascii="Cambria" w:cs="Cambria" w:eastAsia="Cambria" w:hAnsi="Cambria"/>
          <w:rtl w:val="0"/>
        </w:rPr>
        <w:t xml:space="preserve">NASS, L.L.; VALOIS, A.C.C.; MELO, I.S.; VALADARES-INGLIS. </w:t>
      </w:r>
      <w:r w:rsidDel="00000000" w:rsidR="00000000" w:rsidRPr="00000000">
        <w:rPr>
          <w:rFonts w:ascii="Cambria" w:cs="Cambria" w:eastAsia="Cambria" w:hAnsi="Cambria"/>
          <w:i w:val="1"/>
          <w:rtl w:val="0"/>
        </w:rPr>
        <w:t xml:space="preserve">Recursos Genéticos e Melhoramento – Plantas. </w:t>
      </w:r>
      <w:r w:rsidDel="00000000" w:rsidR="00000000" w:rsidRPr="00000000">
        <w:rPr>
          <w:rFonts w:ascii="Cambria" w:cs="Cambria" w:eastAsia="Cambria" w:hAnsi="Cambria"/>
          <w:rtl w:val="0"/>
        </w:rPr>
        <w:t xml:space="preserve">Rondonópolis: Fundação MT. 2001. 1183p.</w:t>
      </w:r>
    </w:p>
    <w:p w:rsidR="00000000" w:rsidDel="00000000" w:rsidP="00000000" w:rsidRDefault="00000000" w:rsidRPr="00000000" w14:paraId="00000019">
      <w:pPr>
        <w:spacing w:after="360" w:line="288" w:lineRule="auto"/>
        <w:ind w:left="425" w:hanging="425"/>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RAMALHO, M.A.P.; SANTOS, J.B.; PINTO, C.B.; SOUZA, E.A.; GONÇALVES, F.M.A.; SOUZA, J.C </w:t>
      </w:r>
      <w:r w:rsidDel="00000000" w:rsidR="00000000" w:rsidRPr="00000000">
        <w:rPr>
          <w:rFonts w:ascii="Cambria" w:cs="Cambria" w:eastAsia="Cambria" w:hAnsi="Cambria"/>
          <w:i w:val="1"/>
          <w:rtl w:val="0"/>
        </w:rPr>
        <w:t xml:space="preserve">Genética na Agropecuária.</w:t>
      </w:r>
      <w:r w:rsidDel="00000000" w:rsidR="00000000" w:rsidRPr="00000000">
        <w:rPr>
          <w:rFonts w:ascii="Cambria" w:cs="Cambria" w:eastAsia="Cambria" w:hAnsi="Cambria"/>
          <w:rtl w:val="0"/>
        </w:rPr>
        <w:t xml:space="preserve"> 5ª ed. Lavras: Editora UFLA. 2012. 565p.</w:t>
      </w:r>
    </w:p>
    <w:p w:rsidR="00000000" w:rsidDel="00000000" w:rsidP="00000000" w:rsidRDefault="00000000" w:rsidRPr="00000000" w14:paraId="0000001A">
      <w:pPr>
        <w:spacing w:after="360" w:line="288" w:lineRule="auto"/>
        <w:ind w:left="425" w:hanging="425"/>
        <w:contextualSpacing w:val="0"/>
        <w:rPr>
          <w:rFonts w:ascii="Cambria" w:cs="Cambria" w:eastAsia="Cambria" w:hAnsi="Cambria"/>
          <w:b w:val="1"/>
        </w:rPr>
      </w:pPr>
      <w:r w:rsidDel="00000000" w:rsidR="00000000" w:rsidRPr="00000000">
        <w:rPr>
          <w:rFonts w:ascii="Cambria" w:cs="Cambria" w:eastAsia="Cambria" w:hAnsi="Cambria"/>
          <w:rtl w:val="0"/>
        </w:rPr>
        <w:t xml:space="preserve">SNUSTAD, P.; SIMMONS, M.J. </w:t>
      </w:r>
      <w:r w:rsidDel="00000000" w:rsidR="00000000" w:rsidRPr="00000000">
        <w:rPr>
          <w:rFonts w:ascii="Cambria" w:cs="Cambria" w:eastAsia="Cambria" w:hAnsi="Cambria"/>
          <w:i w:val="1"/>
          <w:rtl w:val="0"/>
        </w:rPr>
        <w:t xml:space="preserve">Fundamentos de Genética.</w:t>
      </w:r>
      <w:r w:rsidDel="00000000" w:rsidR="00000000" w:rsidRPr="00000000">
        <w:rPr>
          <w:rFonts w:ascii="Cambria" w:cs="Cambria" w:eastAsia="Cambria" w:hAnsi="Cambria"/>
          <w:rtl w:val="0"/>
        </w:rPr>
        <w:t xml:space="preserve"> 7ª ed. Rio de Janeiro: Guanabara Koogan. 2017. 604p.</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hyperlink" Target="http://pgmp.agro.uf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