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DF7" w:rsidRDefault="009F4C58">
      <w:pPr>
        <w:spacing w:after="0" w:line="240" w:lineRule="auto"/>
        <w:jc w:val="center"/>
        <w:rPr>
          <w:sz w:val="16"/>
          <w:szCs w:val="16"/>
        </w:rPr>
      </w:pPr>
      <w:r>
        <w:rPr>
          <w:sz w:val="16"/>
          <w:szCs w:val="16"/>
        </w:rPr>
        <w:t>MINISTÉRIO DA EDUCAÇÃO</w:t>
      </w:r>
      <w:r>
        <w:rPr>
          <w:noProof/>
        </w:rPr>
        <w:drawing>
          <wp:anchor distT="0" distB="0" distL="114300" distR="114300" simplePos="0" relativeHeight="251658240" behindDoc="0" locked="0" layoutInCell="1" hidden="0" allowOverlap="1">
            <wp:simplePos x="0" y="0"/>
            <wp:positionH relativeFrom="margin">
              <wp:posOffset>1</wp:posOffset>
            </wp:positionH>
            <wp:positionV relativeFrom="paragraph">
              <wp:posOffset>0</wp:posOffset>
            </wp:positionV>
            <wp:extent cx="824230" cy="79565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824230" cy="79565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4804366</wp:posOffset>
            </wp:positionH>
            <wp:positionV relativeFrom="paragraph">
              <wp:posOffset>-99002</wp:posOffset>
            </wp:positionV>
            <wp:extent cx="689377" cy="856961"/>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689377" cy="856961"/>
                    </a:xfrm>
                    <a:prstGeom prst="rect">
                      <a:avLst/>
                    </a:prstGeom>
                    <a:ln/>
                  </pic:spPr>
                </pic:pic>
              </a:graphicData>
            </a:graphic>
          </wp:anchor>
        </w:drawing>
      </w:r>
    </w:p>
    <w:p w:rsidR="007B0DF7" w:rsidRDefault="009F4C58">
      <w:pPr>
        <w:spacing w:after="0" w:line="240" w:lineRule="auto"/>
        <w:jc w:val="center"/>
        <w:rPr>
          <w:sz w:val="24"/>
          <w:szCs w:val="24"/>
        </w:rPr>
      </w:pPr>
      <w:r>
        <w:rPr>
          <w:sz w:val="24"/>
          <w:szCs w:val="24"/>
        </w:rPr>
        <w:t>UNIVERSIDADE FEDERAL DE GOIÁS</w:t>
      </w:r>
    </w:p>
    <w:p w:rsidR="007B0DF7" w:rsidRDefault="009F4C58">
      <w:pPr>
        <w:spacing w:after="0" w:line="240" w:lineRule="auto"/>
        <w:jc w:val="center"/>
        <w:rPr>
          <w:sz w:val="20"/>
          <w:szCs w:val="20"/>
        </w:rPr>
      </w:pPr>
      <w:r>
        <w:rPr>
          <w:sz w:val="20"/>
          <w:szCs w:val="20"/>
        </w:rPr>
        <w:t>ESCOLA DE AGRONOMIA</w:t>
      </w:r>
    </w:p>
    <w:p w:rsidR="007B0DF7" w:rsidRDefault="009F4C58">
      <w:pPr>
        <w:spacing w:after="0" w:line="240" w:lineRule="auto"/>
        <w:jc w:val="center"/>
        <w:rPr>
          <w:b/>
        </w:rPr>
      </w:pPr>
      <w:r>
        <w:rPr>
          <w:b/>
        </w:rPr>
        <w:t>PROGRAMA DE PÓS-GRADUAÇÃO</w:t>
      </w:r>
    </w:p>
    <w:p w:rsidR="007B0DF7" w:rsidRDefault="009F4C58">
      <w:pPr>
        <w:spacing w:after="0" w:line="240" w:lineRule="auto"/>
        <w:jc w:val="center"/>
        <w:rPr>
          <w:b/>
        </w:rPr>
      </w:pPr>
      <w:r>
        <w:rPr>
          <w:b/>
        </w:rPr>
        <w:t>EM GENÉTICA E MELHORAMENTO DE PLANTAS</w:t>
      </w:r>
    </w:p>
    <w:p w:rsidR="007B0DF7" w:rsidRDefault="007B0DF7">
      <w:pPr>
        <w:spacing w:after="0" w:line="240" w:lineRule="auto"/>
        <w:jc w:val="center"/>
        <w:rPr>
          <w:b/>
        </w:rPr>
      </w:pPr>
    </w:p>
    <w:p w:rsidR="001370F8" w:rsidRDefault="001370F8" w:rsidP="001370F8">
      <w:pPr>
        <w:pBdr>
          <w:top w:val="nil"/>
          <w:left w:val="nil"/>
          <w:bottom w:val="nil"/>
          <w:right w:val="nil"/>
          <w:between w:val="nil"/>
        </w:pBdr>
        <w:spacing w:after="0" w:line="240" w:lineRule="auto"/>
        <w:jc w:val="center"/>
        <w:rPr>
          <w:szCs w:val="24"/>
        </w:rPr>
      </w:pPr>
      <w:r>
        <w:rPr>
          <w:b/>
          <w:color w:val="000000"/>
          <w:sz w:val="18"/>
          <w:szCs w:val="18"/>
        </w:rPr>
        <w:t>Escola de Agronomia – UFG</w:t>
      </w:r>
    </w:p>
    <w:p w:rsidR="001370F8" w:rsidRDefault="001370F8" w:rsidP="001370F8">
      <w:pPr>
        <w:pBdr>
          <w:top w:val="nil"/>
          <w:left w:val="nil"/>
          <w:bottom w:val="nil"/>
          <w:right w:val="nil"/>
          <w:between w:val="nil"/>
        </w:pBdr>
        <w:spacing w:after="0" w:line="240" w:lineRule="auto"/>
        <w:jc w:val="center"/>
        <w:rPr>
          <w:szCs w:val="24"/>
        </w:rPr>
      </w:pPr>
      <w:r>
        <w:rPr>
          <w:b/>
          <w:color w:val="000000"/>
          <w:sz w:val="18"/>
          <w:szCs w:val="18"/>
        </w:rPr>
        <w:t>Av. Esperança s/n, Campus</w:t>
      </w:r>
      <w:r>
        <w:rPr>
          <w:b/>
          <w:i/>
          <w:color w:val="000000"/>
          <w:sz w:val="18"/>
          <w:szCs w:val="18"/>
        </w:rPr>
        <w:t xml:space="preserve"> </w:t>
      </w:r>
      <w:r>
        <w:rPr>
          <w:b/>
          <w:color w:val="000000"/>
          <w:sz w:val="18"/>
          <w:szCs w:val="18"/>
        </w:rPr>
        <w:t>Samambaia, Goiânia-GO, CEP: 74690-900</w:t>
      </w:r>
    </w:p>
    <w:p w:rsidR="001370F8" w:rsidRDefault="001370F8" w:rsidP="001370F8">
      <w:pPr>
        <w:pBdr>
          <w:top w:val="nil"/>
          <w:left w:val="nil"/>
          <w:bottom w:val="nil"/>
          <w:right w:val="nil"/>
          <w:between w:val="nil"/>
        </w:pBdr>
        <w:spacing w:after="0" w:line="240" w:lineRule="auto"/>
        <w:jc w:val="center"/>
        <w:rPr>
          <w:b/>
          <w:color w:val="000000"/>
          <w:sz w:val="18"/>
          <w:szCs w:val="18"/>
        </w:rPr>
      </w:pPr>
      <w:r>
        <w:rPr>
          <w:b/>
          <w:color w:val="000000"/>
          <w:sz w:val="18"/>
          <w:szCs w:val="18"/>
        </w:rPr>
        <w:t xml:space="preserve">Fones: (62) 3521-1687 e 3521-1541 – e-mail: pgmp.agro@ufg.br </w:t>
      </w:r>
    </w:p>
    <w:p w:rsidR="001370F8" w:rsidRDefault="001370F8" w:rsidP="001370F8">
      <w:pPr>
        <w:pBdr>
          <w:top w:val="nil"/>
          <w:left w:val="nil"/>
          <w:bottom w:val="nil"/>
          <w:right w:val="nil"/>
          <w:between w:val="nil"/>
        </w:pBdr>
        <w:spacing w:after="0" w:line="240" w:lineRule="auto"/>
        <w:jc w:val="center"/>
        <w:rPr>
          <w:szCs w:val="24"/>
        </w:rPr>
      </w:pPr>
      <w:r>
        <w:rPr>
          <w:b/>
          <w:color w:val="000000"/>
          <w:sz w:val="18"/>
          <w:szCs w:val="18"/>
        </w:rPr>
        <w:t>Página: http://ppggmp.agro.ufg.br/</w:t>
      </w:r>
    </w:p>
    <w:p w:rsidR="007B0DF7" w:rsidRPr="001370F8" w:rsidRDefault="009F4C58">
      <w:pPr>
        <w:spacing w:before="720" w:after="0" w:line="240" w:lineRule="auto"/>
        <w:jc w:val="both"/>
        <w:rPr>
          <w:rFonts w:asciiTheme="majorHAnsi" w:eastAsia="Cambria" w:hAnsiTheme="majorHAnsi" w:cstheme="majorHAnsi"/>
          <w:sz w:val="24"/>
          <w:szCs w:val="24"/>
        </w:rPr>
      </w:pPr>
      <w:r w:rsidRPr="001370F8">
        <w:rPr>
          <w:rFonts w:asciiTheme="majorHAnsi" w:eastAsia="Cambria" w:hAnsiTheme="majorHAnsi" w:cstheme="majorHAnsi"/>
          <w:sz w:val="24"/>
          <w:szCs w:val="24"/>
        </w:rPr>
        <w:t>Serão exigidos conhecimentos relacionados com as linhas de pesquisa do Programa, listados a seguir:</w:t>
      </w:r>
    </w:p>
    <w:p w:rsidR="007B0DF7" w:rsidRPr="001370F8" w:rsidRDefault="009F4C58">
      <w:pPr>
        <w:pStyle w:val="Ttulo1"/>
        <w:rPr>
          <w:rFonts w:asciiTheme="majorHAnsi" w:hAnsiTheme="majorHAnsi" w:cstheme="majorHAnsi"/>
          <w:sz w:val="24"/>
          <w:szCs w:val="24"/>
        </w:rPr>
      </w:pPr>
      <w:r w:rsidRPr="001370F8">
        <w:rPr>
          <w:rFonts w:asciiTheme="majorHAnsi" w:hAnsiTheme="majorHAnsi" w:cstheme="majorHAnsi"/>
          <w:sz w:val="24"/>
          <w:szCs w:val="24"/>
        </w:rPr>
        <w:t>Estatística</w:t>
      </w:r>
    </w:p>
    <w:p w:rsidR="007B0DF7" w:rsidRPr="001370F8" w:rsidRDefault="009F4C58">
      <w:pPr>
        <w:spacing w:after="0" w:line="240" w:lineRule="auto"/>
        <w:jc w:val="both"/>
        <w:rPr>
          <w:rFonts w:asciiTheme="majorHAnsi" w:eastAsia="Cambria" w:hAnsiTheme="majorHAnsi" w:cstheme="majorHAnsi"/>
          <w:sz w:val="24"/>
          <w:szCs w:val="24"/>
        </w:rPr>
      </w:pPr>
      <w:r w:rsidRPr="001370F8">
        <w:rPr>
          <w:rFonts w:asciiTheme="majorHAnsi" w:eastAsia="Cambria" w:hAnsiTheme="majorHAnsi" w:cstheme="majorHAnsi"/>
          <w:sz w:val="24"/>
          <w:szCs w:val="24"/>
        </w:rPr>
        <w:t xml:space="preserve">Definições e conceitos de Estatística. Divisões da Estatística. Variáveis e gráficos. Distribuições de frequência. Parâmetros de tendência central e de dispersão. Probabilidade. Distribuição Binomial. Distribuição de Poisson. Distribuição Normal. Inferência estatística e amostragem. Introdução aos testes de hipóteses. Distribuição e teste </w:t>
      </w:r>
      <w:r w:rsidRPr="001370F8">
        <w:rPr>
          <w:rFonts w:asciiTheme="majorHAnsi" w:eastAsia="Cambria" w:hAnsiTheme="majorHAnsi" w:cstheme="majorHAnsi"/>
          <w:i/>
          <w:sz w:val="24"/>
          <w:szCs w:val="24"/>
        </w:rPr>
        <w:t>t</w:t>
      </w:r>
      <w:r w:rsidRPr="001370F8">
        <w:rPr>
          <w:rFonts w:asciiTheme="majorHAnsi" w:eastAsia="Cambria" w:hAnsiTheme="majorHAnsi" w:cstheme="majorHAnsi"/>
          <w:sz w:val="24"/>
          <w:szCs w:val="24"/>
        </w:rPr>
        <w:t xml:space="preserve"> de </w:t>
      </w:r>
      <w:proofErr w:type="spellStart"/>
      <w:r w:rsidRPr="001370F8">
        <w:rPr>
          <w:rFonts w:asciiTheme="majorHAnsi" w:eastAsia="Cambria" w:hAnsiTheme="majorHAnsi" w:cstheme="majorHAnsi"/>
          <w:sz w:val="24"/>
          <w:szCs w:val="24"/>
        </w:rPr>
        <w:t>Student</w:t>
      </w:r>
      <w:proofErr w:type="spellEnd"/>
      <w:r w:rsidRPr="001370F8">
        <w:rPr>
          <w:rFonts w:asciiTheme="majorHAnsi" w:eastAsia="Cambria" w:hAnsiTheme="majorHAnsi" w:cstheme="majorHAnsi"/>
          <w:sz w:val="24"/>
          <w:szCs w:val="24"/>
        </w:rPr>
        <w:t xml:space="preserve">. Intervalo de confiança. Distribuição e teste de </w:t>
      </w:r>
      <w:r w:rsidRPr="001370F8">
        <w:rPr>
          <w:rFonts w:asciiTheme="majorHAnsi" w:eastAsia="Cambria" w:hAnsiTheme="majorHAnsi" w:cstheme="majorHAnsi"/>
          <w:i/>
          <w:sz w:val="24"/>
          <w:szCs w:val="24"/>
        </w:rPr>
        <w:t>X</w:t>
      </w:r>
      <w:r w:rsidRPr="001370F8">
        <w:rPr>
          <w:rFonts w:asciiTheme="majorHAnsi" w:eastAsia="Cambria" w:hAnsiTheme="majorHAnsi" w:cstheme="majorHAnsi"/>
          <w:i/>
          <w:sz w:val="24"/>
          <w:szCs w:val="24"/>
          <w:vertAlign w:val="superscript"/>
        </w:rPr>
        <w:t>2</w:t>
      </w:r>
      <w:r w:rsidRPr="001370F8">
        <w:rPr>
          <w:rFonts w:asciiTheme="majorHAnsi" w:eastAsia="Cambria" w:hAnsiTheme="majorHAnsi" w:cstheme="majorHAnsi"/>
          <w:sz w:val="24"/>
          <w:szCs w:val="24"/>
        </w:rPr>
        <w:t>. Análise de variância. Regressão. Correlação.</w:t>
      </w:r>
    </w:p>
    <w:p w:rsidR="007B0DF7" w:rsidRPr="001370F8" w:rsidRDefault="009F4C58">
      <w:pPr>
        <w:pStyle w:val="Ttulo1"/>
        <w:rPr>
          <w:rFonts w:asciiTheme="majorHAnsi" w:hAnsiTheme="majorHAnsi" w:cstheme="majorHAnsi"/>
          <w:sz w:val="24"/>
          <w:szCs w:val="24"/>
        </w:rPr>
      </w:pPr>
      <w:r w:rsidRPr="001370F8">
        <w:rPr>
          <w:rFonts w:asciiTheme="majorHAnsi" w:hAnsiTheme="majorHAnsi" w:cstheme="majorHAnsi"/>
          <w:sz w:val="24"/>
          <w:szCs w:val="24"/>
        </w:rPr>
        <w:t>Genética</w:t>
      </w:r>
    </w:p>
    <w:p w:rsidR="007B0DF7" w:rsidRPr="001370F8" w:rsidRDefault="009F4C58">
      <w:pPr>
        <w:spacing w:after="0" w:line="240" w:lineRule="auto"/>
        <w:jc w:val="both"/>
        <w:rPr>
          <w:rFonts w:asciiTheme="majorHAnsi" w:eastAsia="Cambria" w:hAnsiTheme="majorHAnsi" w:cstheme="majorHAnsi"/>
          <w:sz w:val="24"/>
          <w:szCs w:val="24"/>
        </w:rPr>
      </w:pPr>
      <w:r w:rsidRPr="001370F8">
        <w:rPr>
          <w:rFonts w:asciiTheme="majorHAnsi" w:eastAsia="Cambria" w:hAnsiTheme="majorHAnsi" w:cstheme="majorHAnsi"/>
          <w:sz w:val="24"/>
          <w:szCs w:val="24"/>
        </w:rPr>
        <w:t xml:space="preserve">Herança e ambiente. Bases citológicas da herança (mitose e meiose). Padrões de herança. </w:t>
      </w:r>
      <w:proofErr w:type="spellStart"/>
      <w:r w:rsidRPr="001370F8">
        <w:rPr>
          <w:rFonts w:asciiTheme="majorHAnsi" w:eastAsia="Cambria" w:hAnsiTheme="majorHAnsi" w:cstheme="majorHAnsi"/>
          <w:sz w:val="24"/>
          <w:szCs w:val="24"/>
        </w:rPr>
        <w:t>Alelismo</w:t>
      </w:r>
      <w:proofErr w:type="spellEnd"/>
      <w:r w:rsidRPr="001370F8">
        <w:rPr>
          <w:rFonts w:asciiTheme="majorHAnsi" w:eastAsia="Cambria" w:hAnsiTheme="majorHAnsi" w:cstheme="majorHAnsi"/>
          <w:sz w:val="24"/>
          <w:szCs w:val="24"/>
        </w:rPr>
        <w:t xml:space="preserve"> múltiplo. Interação gênica. </w:t>
      </w:r>
      <w:proofErr w:type="spellStart"/>
      <w:r w:rsidRPr="001370F8">
        <w:rPr>
          <w:rFonts w:asciiTheme="majorHAnsi" w:eastAsia="Cambria" w:hAnsiTheme="majorHAnsi" w:cstheme="majorHAnsi"/>
          <w:sz w:val="24"/>
          <w:szCs w:val="24"/>
        </w:rPr>
        <w:t>Epistasia</w:t>
      </w:r>
      <w:proofErr w:type="spellEnd"/>
      <w:r w:rsidRPr="001370F8">
        <w:rPr>
          <w:rFonts w:asciiTheme="majorHAnsi" w:eastAsia="Cambria" w:hAnsiTheme="majorHAnsi" w:cstheme="majorHAnsi"/>
          <w:sz w:val="24"/>
          <w:szCs w:val="24"/>
        </w:rPr>
        <w:t xml:space="preserve">. Ligação gênica. Herança e sexo. Genética Molecular (estrutura e função de ácidos nucleicos, síntese proteica, mutações gênicas). Mutações cromossômicas. Herança </w:t>
      </w:r>
      <w:proofErr w:type="spellStart"/>
      <w:r w:rsidRPr="001370F8">
        <w:rPr>
          <w:rFonts w:asciiTheme="majorHAnsi" w:eastAsia="Cambria" w:hAnsiTheme="majorHAnsi" w:cstheme="majorHAnsi"/>
          <w:sz w:val="24"/>
          <w:szCs w:val="24"/>
        </w:rPr>
        <w:t>extracromossômica</w:t>
      </w:r>
      <w:proofErr w:type="spellEnd"/>
      <w:r w:rsidRPr="001370F8">
        <w:rPr>
          <w:rFonts w:asciiTheme="majorHAnsi" w:eastAsia="Cambria" w:hAnsiTheme="majorHAnsi" w:cstheme="majorHAnsi"/>
          <w:sz w:val="24"/>
          <w:szCs w:val="24"/>
        </w:rPr>
        <w:t xml:space="preserve">. Genética de Populações (frequências gênicas e genotípicas, Equilíbrio de </w:t>
      </w:r>
      <w:proofErr w:type="spellStart"/>
      <w:r w:rsidRPr="001370F8">
        <w:rPr>
          <w:rFonts w:asciiTheme="majorHAnsi" w:eastAsia="Cambria" w:hAnsiTheme="majorHAnsi" w:cstheme="majorHAnsi"/>
          <w:sz w:val="24"/>
          <w:szCs w:val="24"/>
        </w:rPr>
        <w:t>Hardy</w:t>
      </w:r>
      <w:proofErr w:type="spellEnd"/>
      <w:r w:rsidRPr="001370F8">
        <w:rPr>
          <w:rFonts w:asciiTheme="majorHAnsi" w:eastAsia="Cambria" w:hAnsiTheme="majorHAnsi" w:cstheme="majorHAnsi"/>
          <w:sz w:val="24"/>
          <w:szCs w:val="24"/>
        </w:rPr>
        <w:t xml:space="preserve">-Weinberg, fatores evolutivos). Genética Quantitativa (decomposição da variância fenotípica, </w:t>
      </w:r>
      <w:proofErr w:type="spellStart"/>
      <w:r w:rsidRPr="001370F8">
        <w:rPr>
          <w:rFonts w:asciiTheme="majorHAnsi" w:eastAsia="Cambria" w:hAnsiTheme="majorHAnsi" w:cstheme="majorHAnsi"/>
          <w:sz w:val="24"/>
          <w:szCs w:val="24"/>
        </w:rPr>
        <w:t>herdabilidade</w:t>
      </w:r>
      <w:proofErr w:type="spellEnd"/>
      <w:r w:rsidRPr="001370F8">
        <w:rPr>
          <w:rFonts w:asciiTheme="majorHAnsi" w:eastAsia="Cambria" w:hAnsiTheme="majorHAnsi" w:cstheme="majorHAnsi"/>
          <w:sz w:val="24"/>
          <w:szCs w:val="24"/>
        </w:rPr>
        <w:t>).</w:t>
      </w:r>
    </w:p>
    <w:p w:rsidR="007B0DF7" w:rsidRPr="001370F8" w:rsidRDefault="009F4C58">
      <w:pPr>
        <w:pStyle w:val="Ttulo1"/>
        <w:rPr>
          <w:rFonts w:asciiTheme="majorHAnsi" w:hAnsiTheme="majorHAnsi" w:cstheme="majorHAnsi"/>
          <w:sz w:val="24"/>
          <w:szCs w:val="24"/>
        </w:rPr>
      </w:pPr>
      <w:r w:rsidRPr="001370F8">
        <w:rPr>
          <w:rFonts w:asciiTheme="majorHAnsi" w:hAnsiTheme="majorHAnsi" w:cstheme="majorHAnsi"/>
          <w:sz w:val="24"/>
          <w:szCs w:val="24"/>
        </w:rPr>
        <w:t>Melhoramento de Plantas</w:t>
      </w:r>
    </w:p>
    <w:p w:rsidR="007B0DF7" w:rsidRPr="001370F8" w:rsidRDefault="009F4C58">
      <w:pPr>
        <w:spacing w:after="0" w:line="240" w:lineRule="auto"/>
        <w:jc w:val="both"/>
        <w:rPr>
          <w:rFonts w:asciiTheme="majorHAnsi" w:eastAsia="Cambria" w:hAnsiTheme="majorHAnsi" w:cstheme="majorHAnsi"/>
          <w:sz w:val="24"/>
          <w:szCs w:val="24"/>
        </w:rPr>
      </w:pPr>
      <w:r w:rsidRPr="001370F8">
        <w:rPr>
          <w:rFonts w:asciiTheme="majorHAnsi" w:eastAsia="Cambria" w:hAnsiTheme="majorHAnsi" w:cstheme="majorHAnsi"/>
          <w:sz w:val="24"/>
          <w:szCs w:val="24"/>
        </w:rPr>
        <w:t>O papel do melhoramento de plantas na agricultura. Conservação e uso de recursos genéticos vegetais. Sistemas de reprodução em plantas. Introdução de características monogênicas em cultivares. Melhoramento para obtenção de linhas puras. Melhoramento para obtenção de variedades de polinização aberta. Melhoramento para obtenção de híbridos. Melhoramento para obtenção de clones.</w:t>
      </w:r>
    </w:p>
    <w:p w:rsidR="007B0DF7" w:rsidRPr="001370F8" w:rsidRDefault="009F4C58">
      <w:pPr>
        <w:spacing w:before="480" w:after="0" w:line="240" w:lineRule="auto"/>
        <w:jc w:val="both"/>
        <w:rPr>
          <w:rFonts w:asciiTheme="majorHAnsi" w:eastAsia="Cambria" w:hAnsiTheme="majorHAnsi" w:cstheme="majorHAnsi"/>
          <w:b/>
          <w:sz w:val="24"/>
          <w:szCs w:val="24"/>
        </w:rPr>
      </w:pPr>
      <w:r w:rsidRPr="001370F8">
        <w:rPr>
          <w:rFonts w:asciiTheme="majorHAnsi" w:hAnsiTheme="majorHAnsi" w:cstheme="majorHAnsi"/>
          <w:sz w:val="24"/>
          <w:szCs w:val="24"/>
        </w:rPr>
        <w:br w:type="page"/>
      </w:r>
    </w:p>
    <w:p w:rsidR="007B0DF7" w:rsidRPr="001370F8" w:rsidRDefault="009F4C58">
      <w:pPr>
        <w:spacing w:after="720" w:line="240" w:lineRule="auto"/>
        <w:jc w:val="center"/>
        <w:rPr>
          <w:rFonts w:asciiTheme="majorHAnsi" w:hAnsiTheme="majorHAnsi" w:cstheme="majorHAnsi"/>
          <w:b/>
          <w:sz w:val="24"/>
          <w:szCs w:val="24"/>
        </w:rPr>
      </w:pPr>
      <w:r w:rsidRPr="001370F8">
        <w:rPr>
          <w:rFonts w:asciiTheme="majorHAnsi" w:hAnsiTheme="majorHAnsi" w:cstheme="majorHAnsi"/>
          <w:b/>
          <w:sz w:val="24"/>
          <w:szCs w:val="24"/>
        </w:rPr>
        <w:lastRenderedPageBreak/>
        <w:t>BIBLIOGRAFIA RECOMENDADA</w:t>
      </w:r>
    </w:p>
    <w:p w:rsidR="007B0DF7" w:rsidRPr="001370F8" w:rsidRDefault="009F4C58">
      <w:pPr>
        <w:spacing w:after="360" w:line="288" w:lineRule="auto"/>
        <w:ind w:left="425" w:hanging="425"/>
        <w:rPr>
          <w:rFonts w:asciiTheme="majorHAnsi" w:eastAsia="Cambria" w:hAnsiTheme="majorHAnsi" w:cstheme="majorHAnsi"/>
          <w:sz w:val="24"/>
          <w:szCs w:val="24"/>
        </w:rPr>
      </w:pPr>
      <w:r w:rsidRPr="001370F8">
        <w:rPr>
          <w:rFonts w:asciiTheme="majorHAnsi" w:eastAsia="Cambria" w:hAnsiTheme="majorHAnsi" w:cstheme="majorHAnsi"/>
          <w:sz w:val="24"/>
          <w:szCs w:val="24"/>
        </w:rPr>
        <w:t xml:space="preserve">BORÉM, A.; MIRANDA, G.V. </w:t>
      </w:r>
      <w:r w:rsidRPr="001370F8">
        <w:rPr>
          <w:rFonts w:asciiTheme="majorHAnsi" w:eastAsia="Cambria" w:hAnsiTheme="majorHAnsi" w:cstheme="majorHAnsi"/>
          <w:i/>
          <w:sz w:val="24"/>
          <w:szCs w:val="24"/>
        </w:rPr>
        <w:t>Melhoramento de Plantas.</w:t>
      </w:r>
      <w:r w:rsidRPr="001370F8">
        <w:rPr>
          <w:rFonts w:asciiTheme="majorHAnsi" w:eastAsia="Cambria" w:hAnsiTheme="majorHAnsi" w:cstheme="majorHAnsi"/>
          <w:sz w:val="24"/>
          <w:szCs w:val="24"/>
        </w:rPr>
        <w:t xml:space="preserve"> 5ª ed. Viçosa: Editora UFV. 2009. 529p.</w:t>
      </w:r>
    </w:p>
    <w:p w:rsidR="007B0DF7" w:rsidRPr="001370F8" w:rsidRDefault="009F4C58">
      <w:pPr>
        <w:spacing w:after="360" w:line="288" w:lineRule="auto"/>
        <w:ind w:left="425" w:hanging="425"/>
        <w:rPr>
          <w:rFonts w:asciiTheme="majorHAnsi" w:eastAsia="Cambria" w:hAnsiTheme="majorHAnsi" w:cstheme="majorHAnsi"/>
          <w:sz w:val="24"/>
          <w:szCs w:val="24"/>
        </w:rPr>
      </w:pPr>
      <w:r w:rsidRPr="001370F8">
        <w:rPr>
          <w:rFonts w:asciiTheme="majorHAnsi" w:eastAsia="Cambria" w:hAnsiTheme="majorHAnsi" w:cstheme="majorHAnsi"/>
          <w:sz w:val="24"/>
          <w:szCs w:val="24"/>
        </w:rPr>
        <w:t xml:space="preserve">DESTRO, D.; MONTALVAN, E. </w:t>
      </w:r>
      <w:r w:rsidRPr="001370F8">
        <w:rPr>
          <w:rFonts w:asciiTheme="majorHAnsi" w:eastAsia="Cambria" w:hAnsiTheme="majorHAnsi" w:cstheme="majorHAnsi"/>
          <w:i/>
          <w:sz w:val="24"/>
          <w:szCs w:val="24"/>
        </w:rPr>
        <w:t>Melhoramento Genético de Plantas.</w:t>
      </w:r>
      <w:r w:rsidRPr="001370F8">
        <w:rPr>
          <w:rFonts w:asciiTheme="majorHAnsi" w:eastAsia="Cambria" w:hAnsiTheme="majorHAnsi" w:cstheme="majorHAnsi"/>
          <w:sz w:val="24"/>
          <w:szCs w:val="24"/>
        </w:rPr>
        <w:t xml:space="preserve"> Londrina: EDUEL. 1999. 820p.</w:t>
      </w:r>
    </w:p>
    <w:p w:rsidR="007B0DF7" w:rsidRPr="001370F8" w:rsidRDefault="009F4C58">
      <w:pPr>
        <w:spacing w:after="360" w:line="288" w:lineRule="auto"/>
        <w:ind w:left="425" w:hanging="425"/>
        <w:rPr>
          <w:rFonts w:asciiTheme="majorHAnsi" w:eastAsia="Cambria" w:hAnsiTheme="majorHAnsi" w:cstheme="majorHAnsi"/>
          <w:sz w:val="24"/>
          <w:szCs w:val="24"/>
        </w:rPr>
      </w:pPr>
      <w:r w:rsidRPr="001370F8">
        <w:rPr>
          <w:rFonts w:asciiTheme="majorHAnsi" w:eastAsia="Cambria" w:hAnsiTheme="majorHAnsi" w:cstheme="majorHAnsi"/>
          <w:sz w:val="24"/>
          <w:szCs w:val="24"/>
        </w:rPr>
        <w:t xml:space="preserve">FERREIRA, D.F. </w:t>
      </w:r>
      <w:r w:rsidRPr="001370F8">
        <w:rPr>
          <w:rFonts w:asciiTheme="majorHAnsi" w:eastAsia="Cambria" w:hAnsiTheme="majorHAnsi" w:cstheme="majorHAnsi"/>
          <w:i/>
          <w:sz w:val="24"/>
          <w:szCs w:val="24"/>
        </w:rPr>
        <w:t>Estatística Básica.</w:t>
      </w:r>
      <w:r w:rsidRPr="001370F8">
        <w:rPr>
          <w:rFonts w:asciiTheme="majorHAnsi" w:eastAsia="Cambria" w:hAnsiTheme="majorHAnsi" w:cstheme="majorHAnsi"/>
          <w:sz w:val="24"/>
          <w:szCs w:val="24"/>
        </w:rPr>
        <w:t xml:space="preserve"> 2ª ed. Lavr</w:t>
      </w:r>
      <w:bookmarkStart w:id="0" w:name="_GoBack"/>
      <w:bookmarkEnd w:id="0"/>
      <w:r w:rsidRPr="001370F8">
        <w:rPr>
          <w:rFonts w:asciiTheme="majorHAnsi" w:eastAsia="Cambria" w:hAnsiTheme="majorHAnsi" w:cstheme="majorHAnsi"/>
          <w:sz w:val="24"/>
          <w:szCs w:val="24"/>
        </w:rPr>
        <w:t>as: Editora UFLA. 2009. 663p.</w:t>
      </w:r>
    </w:p>
    <w:p w:rsidR="007B0DF7" w:rsidRPr="001370F8" w:rsidRDefault="009F4C58">
      <w:pPr>
        <w:spacing w:after="360" w:line="288" w:lineRule="auto"/>
        <w:ind w:left="425" w:hanging="425"/>
        <w:rPr>
          <w:rFonts w:asciiTheme="majorHAnsi" w:eastAsia="Cambria" w:hAnsiTheme="majorHAnsi" w:cstheme="majorHAnsi"/>
          <w:sz w:val="24"/>
          <w:szCs w:val="24"/>
        </w:rPr>
      </w:pPr>
      <w:r w:rsidRPr="001370F8">
        <w:rPr>
          <w:rFonts w:asciiTheme="majorHAnsi" w:eastAsia="Cambria" w:hAnsiTheme="majorHAnsi" w:cstheme="majorHAnsi"/>
          <w:sz w:val="24"/>
          <w:szCs w:val="24"/>
        </w:rPr>
        <w:t xml:space="preserve">GRIFFITHS, A.J.F., WESSLER, S.R.; CARROLL, S.B.; DOEBLEY, J. </w:t>
      </w:r>
      <w:r w:rsidRPr="001370F8">
        <w:rPr>
          <w:rFonts w:asciiTheme="majorHAnsi" w:eastAsia="Cambria" w:hAnsiTheme="majorHAnsi" w:cstheme="majorHAnsi"/>
          <w:i/>
          <w:sz w:val="24"/>
          <w:szCs w:val="24"/>
        </w:rPr>
        <w:t>Introdução à Genética.</w:t>
      </w:r>
      <w:r w:rsidRPr="001370F8">
        <w:rPr>
          <w:rFonts w:asciiTheme="majorHAnsi" w:eastAsia="Cambria" w:hAnsiTheme="majorHAnsi" w:cstheme="majorHAnsi"/>
          <w:sz w:val="24"/>
          <w:szCs w:val="24"/>
        </w:rPr>
        <w:t xml:space="preserve"> 11ª ed. Rio de Janeiro: Guanabara Koogan. 2016. 780p.</w:t>
      </w:r>
    </w:p>
    <w:p w:rsidR="007B0DF7" w:rsidRPr="001370F8" w:rsidRDefault="009F4C58">
      <w:pPr>
        <w:spacing w:after="360" w:line="288" w:lineRule="auto"/>
        <w:ind w:left="425" w:hanging="425"/>
        <w:rPr>
          <w:rFonts w:asciiTheme="majorHAnsi" w:eastAsia="Cambria" w:hAnsiTheme="majorHAnsi" w:cstheme="majorHAnsi"/>
          <w:sz w:val="24"/>
          <w:szCs w:val="24"/>
        </w:rPr>
      </w:pPr>
      <w:r w:rsidRPr="001370F8">
        <w:rPr>
          <w:rFonts w:asciiTheme="majorHAnsi" w:eastAsia="Cambria" w:hAnsiTheme="majorHAnsi" w:cstheme="majorHAnsi"/>
          <w:sz w:val="24"/>
          <w:szCs w:val="24"/>
        </w:rPr>
        <w:t xml:space="preserve">SOKAL, R.R.; ROHLF, F.J. </w:t>
      </w:r>
      <w:proofErr w:type="spellStart"/>
      <w:r w:rsidRPr="001370F8">
        <w:rPr>
          <w:rFonts w:asciiTheme="majorHAnsi" w:eastAsia="Cambria" w:hAnsiTheme="majorHAnsi" w:cstheme="majorHAnsi"/>
          <w:i/>
          <w:sz w:val="24"/>
          <w:szCs w:val="24"/>
        </w:rPr>
        <w:t>Biometry</w:t>
      </w:r>
      <w:proofErr w:type="spellEnd"/>
      <w:r w:rsidRPr="001370F8">
        <w:rPr>
          <w:rFonts w:asciiTheme="majorHAnsi" w:eastAsia="Cambria" w:hAnsiTheme="majorHAnsi" w:cstheme="majorHAnsi"/>
          <w:sz w:val="24"/>
          <w:szCs w:val="24"/>
        </w:rPr>
        <w:t xml:space="preserve">. </w:t>
      </w:r>
      <w:r w:rsidRPr="001370F8">
        <w:rPr>
          <w:rFonts w:asciiTheme="majorHAnsi" w:eastAsia="Cambria" w:hAnsiTheme="majorHAnsi" w:cstheme="majorHAnsi"/>
          <w:sz w:val="24"/>
          <w:szCs w:val="24"/>
          <w:lang w:val="en-US"/>
        </w:rPr>
        <w:t xml:space="preserve">4ª ed. New York: W. H. Freeman. </w:t>
      </w:r>
      <w:r w:rsidRPr="001370F8">
        <w:rPr>
          <w:rFonts w:asciiTheme="majorHAnsi" w:eastAsia="Cambria" w:hAnsiTheme="majorHAnsi" w:cstheme="majorHAnsi"/>
          <w:sz w:val="24"/>
          <w:szCs w:val="24"/>
        </w:rPr>
        <w:t>2011. 937p.</w:t>
      </w:r>
    </w:p>
    <w:p w:rsidR="007B0DF7" w:rsidRPr="001370F8" w:rsidRDefault="009F4C58">
      <w:pPr>
        <w:spacing w:after="360" w:line="288" w:lineRule="auto"/>
        <w:ind w:left="425" w:hanging="425"/>
        <w:rPr>
          <w:rFonts w:asciiTheme="majorHAnsi" w:eastAsia="Cambria" w:hAnsiTheme="majorHAnsi" w:cstheme="majorHAnsi"/>
          <w:sz w:val="24"/>
          <w:szCs w:val="24"/>
        </w:rPr>
      </w:pPr>
      <w:r w:rsidRPr="001370F8">
        <w:rPr>
          <w:rFonts w:asciiTheme="majorHAnsi" w:eastAsia="Cambria" w:hAnsiTheme="majorHAnsi" w:cstheme="majorHAnsi"/>
          <w:sz w:val="24"/>
          <w:szCs w:val="24"/>
        </w:rPr>
        <w:t xml:space="preserve">NASS, L.L.; VALOIS, A.C.C.; MELO, I.S.; VALADARES-INGLIS. </w:t>
      </w:r>
      <w:r w:rsidRPr="001370F8">
        <w:rPr>
          <w:rFonts w:asciiTheme="majorHAnsi" w:eastAsia="Cambria" w:hAnsiTheme="majorHAnsi" w:cstheme="majorHAnsi"/>
          <w:i/>
          <w:sz w:val="24"/>
          <w:szCs w:val="24"/>
        </w:rPr>
        <w:t xml:space="preserve">Recursos Genéticos e Melhoramento – Plantas. </w:t>
      </w:r>
      <w:r w:rsidRPr="001370F8">
        <w:rPr>
          <w:rFonts w:asciiTheme="majorHAnsi" w:eastAsia="Cambria" w:hAnsiTheme="majorHAnsi" w:cstheme="majorHAnsi"/>
          <w:sz w:val="24"/>
          <w:szCs w:val="24"/>
        </w:rPr>
        <w:t>Rondonópolis: Fundação MT. 2001. 1183p.</w:t>
      </w:r>
    </w:p>
    <w:p w:rsidR="007B0DF7" w:rsidRPr="001370F8" w:rsidRDefault="009F4C58">
      <w:pPr>
        <w:spacing w:after="360" w:line="288" w:lineRule="auto"/>
        <w:ind w:left="425" w:hanging="425"/>
        <w:rPr>
          <w:rFonts w:asciiTheme="majorHAnsi" w:eastAsia="Cambria" w:hAnsiTheme="majorHAnsi" w:cstheme="majorHAnsi"/>
          <w:sz w:val="24"/>
          <w:szCs w:val="24"/>
        </w:rPr>
      </w:pPr>
      <w:bookmarkStart w:id="1" w:name="_gjdgxs" w:colFirst="0" w:colLast="0"/>
      <w:bookmarkEnd w:id="1"/>
      <w:r w:rsidRPr="001370F8">
        <w:rPr>
          <w:rFonts w:asciiTheme="majorHAnsi" w:eastAsia="Cambria" w:hAnsiTheme="majorHAnsi" w:cstheme="majorHAnsi"/>
          <w:sz w:val="24"/>
          <w:szCs w:val="24"/>
        </w:rPr>
        <w:t xml:space="preserve">RAMALHO, M.A.P.; SANTOS, J.B.; PINTO, C.B.; SOUZA, E.A.; GONÇALVES, F.M.A.; SOUZA, J.C </w:t>
      </w:r>
      <w:r w:rsidRPr="001370F8">
        <w:rPr>
          <w:rFonts w:asciiTheme="majorHAnsi" w:eastAsia="Cambria" w:hAnsiTheme="majorHAnsi" w:cstheme="majorHAnsi"/>
          <w:i/>
          <w:sz w:val="24"/>
          <w:szCs w:val="24"/>
        </w:rPr>
        <w:t>Genética na Agropecuária.</w:t>
      </w:r>
      <w:r w:rsidRPr="001370F8">
        <w:rPr>
          <w:rFonts w:asciiTheme="majorHAnsi" w:eastAsia="Cambria" w:hAnsiTheme="majorHAnsi" w:cstheme="majorHAnsi"/>
          <w:sz w:val="24"/>
          <w:szCs w:val="24"/>
        </w:rPr>
        <w:t xml:space="preserve"> 5ª ed. Lavras: Editora UFLA. 2012. 565p.</w:t>
      </w:r>
    </w:p>
    <w:p w:rsidR="007B0DF7" w:rsidRPr="001370F8" w:rsidRDefault="009F4C58">
      <w:pPr>
        <w:spacing w:after="360" w:line="288" w:lineRule="auto"/>
        <w:ind w:left="425" w:hanging="425"/>
        <w:rPr>
          <w:rFonts w:asciiTheme="majorHAnsi" w:eastAsia="Cambria" w:hAnsiTheme="majorHAnsi" w:cstheme="majorHAnsi"/>
          <w:b/>
          <w:sz w:val="24"/>
          <w:szCs w:val="24"/>
        </w:rPr>
      </w:pPr>
      <w:r w:rsidRPr="001370F8">
        <w:rPr>
          <w:rFonts w:asciiTheme="majorHAnsi" w:eastAsia="Cambria" w:hAnsiTheme="majorHAnsi" w:cstheme="majorHAnsi"/>
          <w:sz w:val="24"/>
          <w:szCs w:val="24"/>
        </w:rPr>
        <w:t xml:space="preserve">SNUSTAD, P.; SIMMONS, M.J. </w:t>
      </w:r>
      <w:r w:rsidRPr="001370F8">
        <w:rPr>
          <w:rFonts w:asciiTheme="majorHAnsi" w:eastAsia="Cambria" w:hAnsiTheme="majorHAnsi" w:cstheme="majorHAnsi"/>
          <w:i/>
          <w:sz w:val="24"/>
          <w:szCs w:val="24"/>
        </w:rPr>
        <w:t>Fundamentos de Genética.</w:t>
      </w:r>
      <w:r w:rsidRPr="001370F8">
        <w:rPr>
          <w:rFonts w:asciiTheme="majorHAnsi" w:eastAsia="Cambria" w:hAnsiTheme="majorHAnsi" w:cstheme="majorHAnsi"/>
          <w:sz w:val="24"/>
          <w:szCs w:val="24"/>
        </w:rPr>
        <w:t xml:space="preserve"> 7ª ed. Rio de Janeiro: Guanabara Koogan. 2017. 604p.</w:t>
      </w:r>
    </w:p>
    <w:sectPr w:rsidR="007B0DF7" w:rsidRPr="001370F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7B0DF7"/>
    <w:rsid w:val="001370F8"/>
    <w:rsid w:val="007B0DF7"/>
    <w:rsid w:val="009F4C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7245"/>
  <w15:docId w15:val="{921714D0-C658-AC40-A41D-B0AE1753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0"/>
      <w:outlineLvl w:val="0"/>
    </w:pPr>
    <w:rPr>
      <w:b/>
      <w:color w:val="000000"/>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2285</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Revisor</cp:lastModifiedBy>
  <cp:revision>2</cp:revision>
  <dcterms:created xsi:type="dcterms:W3CDTF">2019-10-27T22:47:00Z</dcterms:created>
  <dcterms:modified xsi:type="dcterms:W3CDTF">2019-10-27T22:47:00Z</dcterms:modified>
</cp:coreProperties>
</file>