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61" w:rsidRDefault="00731C61" w:rsidP="000B07FB">
      <w:pPr>
        <w:pStyle w:val="Ttulo2"/>
        <w:tabs>
          <w:tab w:val="left" w:pos="0"/>
          <w:tab w:val="left" w:pos="441"/>
          <w:tab w:val="center" w:pos="4819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-367030</wp:posOffset>
            </wp:positionV>
            <wp:extent cx="815340" cy="741045"/>
            <wp:effectExtent l="19050" t="0" r="381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41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0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5460365</wp:posOffset>
            </wp:positionH>
            <wp:positionV relativeFrom="margin">
              <wp:posOffset>-440055</wp:posOffset>
            </wp:positionV>
            <wp:extent cx="574040" cy="81534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C61" w:rsidRDefault="00731C61" w:rsidP="000B07FB">
      <w:pPr>
        <w:pStyle w:val="Ttulo2"/>
        <w:tabs>
          <w:tab w:val="left" w:pos="0"/>
          <w:tab w:val="left" w:pos="441"/>
          <w:tab w:val="center" w:pos="4819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731C61" w:rsidRDefault="00731C61" w:rsidP="000B07FB">
      <w:pPr>
        <w:pStyle w:val="Ttulo2"/>
        <w:tabs>
          <w:tab w:val="left" w:pos="0"/>
          <w:tab w:val="left" w:pos="441"/>
          <w:tab w:val="center" w:pos="4819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0B07FB" w:rsidRDefault="000B07FB" w:rsidP="000B07FB">
      <w:pPr>
        <w:pStyle w:val="Ttulo2"/>
        <w:tabs>
          <w:tab w:val="left" w:pos="0"/>
          <w:tab w:val="left" w:pos="441"/>
          <w:tab w:val="center" w:pos="4819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MINISTÉRIO DA EDUCAÇÃO</w:t>
      </w:r>
    </w:p>
    <w:p w:rsidR="000B07FB" w:rsidRDefault="000B07FB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UNIVERSIDADE FEDERAL DE GOIÁS </w:t>
      </w:r>
    </w:p>
    <w:p w:rsidR="000B07FB" w:rsidRDefault="000B07FB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REGIONAL GOIÁS </w:t>
      </w:r>
    </w:p>
    <w:p w:rsidR="000B07FB" w:rsidRDefault="000B07FB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UNIDADE ESPECIAL DE CIÊNCIAS HUMANAS </w:t>
      </w:r>
    </w:p>
    <w:p w:rsidR="000B07FB" w:rsidRDefault="000B07FB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30FCB" w:rsidRDefault="004421ED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PROCESSO SELETIVO SIMPLIFICADO PARA CONTRATAÇÃO DE PROFESSO</w:t>
      </w:r>
      <w:bookmarkStart w:id="0" w:name="_GoBack"/>
      <w:bookmarkEnd w:id="0"/>
      <w:r>
        <w:rPr>
          <w:rFonts w:ascii="Times New Roman" w:hAnsi="Times New Roman"/>
          <w:i w:val="0"/>
          <w:sz w:val="22"/>
          <w:szCs w:val="22"/>
        </w:rPr>
        <w:t>R SUBSTITUTO</w:t>
      </w:r>
    </w:p>
    <w:p w:rsidR="00330FCB" w:rsidRDefault="00330FCB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330FCB" w:rsidRDefault="004421ED">
      <w:pPr>
        <w:pStyle w:val="Ttulo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NORMAS COMPLEMENTARES</w:t>
      </w:r>
    </w:p>
    <w:p w:rsidR="00330FCB" w:rsidRDefault="00330FCB">
      <w:pPr>
        <w:jc w:val="center"/>
        <w:rPr>
          <w:sz w:val="22"/>
          <w:szCs w:val="22"/>
        </w:rPr>
      </w:pPr>
    </w:p>
    <w:p w:rsidR="00330FCB" w:rsidRDefault="00AC185A" w:rsidP="00731C61">
      <w:pPr>
        <w:jc w:val="center"/>
        <w:rPr>
          <w:sz w:val="22"/>
          <w:szCs w:val="22"/>
        </w:rPr>
      </w:pPr>
      <w:r>
        <w:rPr>
          <w:sz w:val="22"/>
          <w:szCs w:val="22"/>
        </w:rPr>
        <w:t>EDITAL Nº</w:t>
      </w:r>
      <w:r w:rsidR="000E3EF1">
        <w:rPr>
          <w:sz w:val="22"/>
          <w:szCs w:val="22"/>
        </w:rPr>
        <w:t xml:space="preserve"> 34</w:t>
      </w:r>
      <w:r w:rsidR="004421ED">
        <w:rPr>
          <w:sz w:val="22"/>
          <w:szCs w:val="22"/>
        </w:rPr>
        <w:t xml:space="preserve"> /2015 </w:t>
      </w:r>
    </w:p>
    <w:p w:rsidR="00330FCB" w:rsidRDefault="004421ED">
      <w:pPr>
        <w:jc w:val="both"/>
        <w:rPr>
          <w:sz w:val="22"/>
          <w:szCs w:val="22"/>
        </w:rPr>
      </w:pPr>
      <w:r>
        <w:rPr>
          <w:sz w:val="22"/>
          <w:szCs w:val="22"/>
        </w:rPr>
        <w:t>A Chefia da UNIDADE E</w:t>
      </w:r>
      <w:r w:rsidR="00AF69CC">
        <w:rPr>
          <w:sz w:val="22"/>
          <w:szCs w:val="22"/>
        </w:rPr>
        <w:t xml:space="preserve">SPECIAL DE CIÊNCIAS HUMANAS DA </w:t>
      </w:r>
      <w:r>
        <w:rPr>
          <w:sz w:val="22"/>
          <w:szCs w:val="22"/>
        </w:rPr>
        <w:t>REGIONAL GOIÁS DA UNIVERSIDADE FEDERAL DE GOIÁS aprovou as seguintes normas complementares ao PROCESSO SELETIVO SIMPLIFICADO para contratação, por tempo determinado, de professor substituto de FILOSO</w:t>
      </w:r>
      <w:r w:rsidR="00AC185A">
        <w:rPr>
          <w:sz w:val="22"/>
          <w:szCs w:val="22"/>
        </w:rPr>
        <w:t>FIA, de que trata o EDITAL Nº</w:t>
      </w:r>
      <w:r w:rsidR="000E3EF1">
        <w:rPr>
          <w:sz w:val="22"/>
          <w:szCs w:val="22"/>
        </w:rPr>
        <w:t xml:space="preserve"> 34</w:t>
      </w:r>
      <w:r w:rsidR="00AC18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/2015, processo Nº </w:t>
      </w:r>
      <w:r>
        <w:rPr>
          <w:sz w:val="22"/>
          <w:szCs w:val="22"/>
          <w:lang w:val="pt-BR" w:eastAsia="pt-BR"/>
        </w:rPr>
        <w:t>23070.004904/2015-71</w:t>
      </w:r>
      <w:r w:rsidR="009912D9">
        <w:rPr>
          <w:sz w:val="22"/>
          <w:szCs w:val="22"/>
        </w:rPr>
        <w:t>–Publicado no DOU em 15/05/2015 SEÇÃO 03 pp. 65-66</w:t>
      </w:r>
      <w:r>
        <w:rPr>
          <w:sz w:val="22"/>
          <w:szCs w:val="22"/>
        </w:rPr>
        <w:t>, de acordo com Resolução CCEP n° 373 de 02/03/1994 e Portaria N</w:t>
      </w:r>
      <w:r w:rsidR="009912D9">
        <w:rPr>
          <w:sz w:val="22"/>
          <w:szCs w:val="22"/>
        </w:rPr>
        <w:t xml:space="preserve">ormativa n° 3/MEC de 02/02/2012 </w:t>
      </w:r>
      <w:r w:rsidR="009912D9">
        <w:t xml:space="preserve"> </w:t>
      </w:r>
      <w:r w:rsidR="009912D9" w:rsidRPr="009912D9">
        <w:rPr>
          <w:sz w:val="22"/>
          <w:szCs w:val="22"/>
        </w:rPr>
        <w:t xml:space="preserve">e </w:t>
      </w:r>
      <w:r w:rsidR="009912D9">
        <w:rPr>
          <w:sz w:val="22"/>
          <w:szCs w:val="22"/>
        </w:rPr>
        <w:t xml:space="preserve"> </w:t>
      </w:r>
      <w:r w:rsidR="009912D9" w:rsidRPr="009912D9">
        <w:rPr>
          <w:sz w:val="22"/>
          <w:szCs w:val="22"/>
        </w:rPr>
        <w:t>Portaria Interministerial nº. 208, de 05 de junho de 2014.</w:t>
      </w:r>
    </w:p>
    <w:p w:rsidR="00330FCB" w:rsidRDefault="00330FCB">
      <w:pPr>
        <w:jc w:val="both"/>
        <w:rPr>
          <w:b/>
          <w:bCs/>
          <w:sz w:val="22"/>
          <w:szCs w:val="22"/>
        </w:rPr>
      </w:pPr>
    </w:p>
    <w:p w:rsidR="00330FCB" w:rsidRDefault="004421ED">
      <w:pPr>
        <w:numPr>
          <w:ilvl w:val="0"/>
          <w:numId w:val="1"/>
        </w:num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 PROCESSO SELETIVO:</w:t>
      </w:r>
    </w:p>
    <w:p w:rsidR="00330FCB" w:rsidRDefault="004421ED">
      <w:pPr>
        <w:numPr>
          <w:ilvl w:val="1"/>
          <w:numId w:val="1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ÁREA DE CONCENTRAÇÃO: Filosofia Geral </w:t>
      </w:r>
    </w:p>
    <w:p w:rsidR="00330FCB" w:rsidRDefault="004421ED">
      <w:pPr>
        <w:numPr>
          <w:ilvl w:val="1"/>
          <w:numId w:val="1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NÚMERO DE VAGAS: 01(uma) vaga. </w:t>
      </w:r>
    </w:p>
    <w:p w:rsidR="00330FCB" w:rsidRDefault="004421ED">
      <w:pPr>
        <w:numPr>
          <w:ilvl w:val="1"/>
          <w:numId w:val="1"/>
        </w:numPr>
        <w:spacing w:before="120" w:after="0"/>
        <w:jc w:val="both"/>
      </w:pPr>
      <w:r>
        <w:t>CLASSE: Assistente</w:t>
      </w:r>
    </w:p>
    <w:p w:rsidR="00330FCB" w:rsidRDefault="004421ED">
      <w:pPr>
        <w:numPr>
          <w:ilvl w:val="1"/>
          <w:numId w:val="1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REGIME DE TRABALHO: 40 (quarenta) horas, contrato por tempo determinado.</w:t>
      </w:r>
    </w:p>
    <w:p w:rsidR="00330FCB" w:rsidRDefault="004421ED">
      <w:pPr>
        <w:numPr>
          <w:ilvl w:val="1"/>
          <w:numId w:val="1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FORMAÇÃO EXIGIDA: Graduação em Filosofia e Mestrado em Filosofia</w:t>
      </w:r>
    </w:p>
    <w:p w:rsidR="00330FCB" w:rsidRDefault="004421ED">
      <w:pPr>
        <w:numPr>
          <w:ilvl w:val="1"/>
          <w:numId w:val="1"/>
        </w:numPr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REMUNERAÇÃO: R$ 3.939,10</w:t>
      </w:r>
    </w:p>
    <w:p w:rsidR="00330FCB" w:rsidRDefault="00330FCB">
      <w:pPr>
        <w:suppressAutoHyphens w:val="0"/>
        <w:ind w:firstLine="567"/>
        <w:jc w:val="both"/>
        <w:rPr>
          <w:sz w:val="22"/>
          <w:szCs w:val="22"/>
        </w:rPr>
      </w:pPr>
    </w:p>
    <w:p w:rsidR="00330FCB" w:rsidRDefault="004421ED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 candidato aprovado no presente edital atuará na Unidade Especial de Ciên</w:t>
      </w:r>
      <w:r w:rsidR="00AF69CC">
        <w:rPr>
          <w:sz w:val="22"/>
          <w:szCs w:val="22"/>
        </w:rPr>
        <w:t>cias Humanas da Regional Goiás,</w:t>
      </w:r>
      <w:r>
        <w:rPr>
          <w:sz w:val="22"/>
          <w:szCs w:val="22"/>
        </w:rPr>
        <w:t xml:space="preserve"> nos cursos de Licenciatura e Bacharelado em Filosofia. </w:t>
      </w:r>
    </w:p>
    <w:p w:rsidR="00330FCB" w:rsidRDefault="004421ED">
      <w:pPr>
        <w:numPr>
          <w:ilvl w:val="0"/>
          <w:numId w:val="1"/>
        </w:numPr>
        <w:spacing w:before="288" w:after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DA INSCRIÇÃO:</w:t>
      </w:r>
    </w:p>
    <w:p w:rsidR="00330FCB" w:rsidRDefault="004421ED">
      <w:pPr>
        <w:numPr>
          <w:ilvl w:val="1"/>
          <w:numId w:val="1"/>
        </w:numPr>
        <w:spacing w:before="288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PERÍODO DE INSCRIÇÃO: </w:t>
      </w:r>
      <w:r w:rsidR="00AF69CC">
        <w:rPr>
          <w:bCs/>
          <w:sz w:val="22"/>
          <w:szCs w:val="22"/>
        </w:rPr>
        <w:t>15 de maio de 2015 a 15 de junho de</w:t>
      </w:r>
      <w:r>
        <w:rPr>
          <w:bCs/>
          <w:sz w:val="22"/>
          <w:szCs w:val="22"/>
        </w:rPr>
        <w:t xml:space="preserve"> 201</w:t>
      </w:r>
      <w:r w:rsidR="00AF69CC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</w:p>
    <w:p w:rsidR="00330FCB" w:rsidRDefault="004421ED">
      <w:pPr>
        <w:numPr>
          <w:ilvl w:val="1"/>
          <w:numId w:val="1"/>
        </w:numPr>
        <w:spacing w:before="288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LOCAL DAS INSCRIÇÕES: Largo do Chafariz, s/n. Antigo Colégio Santana, Goiás </w:t>
      </w:r>
      <w:r w:rsidR="009136A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GO</w:t>
      </w:r>
      <w:r w:rsidR="009136A9">
        <w:rPr>
          <w:bCs/>
          <w:sz w:val="22"/>
          <w:szCs w:val="22"/>
        </w:rPr>
        <w:t xml:space="preserve"> </w:t>
      </w:r>
    </w:p>
    <w:p w:rsidR="00330FCB" w:rsidRDefault="004421ED">
      <w:pPr>
        <w:numPr>
          <w:ilvl w:val="2"/>
          <w:numId w:val="1"/>
        </w:numPr>
        <w:spacing w:line="360" w:lineRule="auto"/>
        <w:ind w:right="-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Horário de atendimento:08h às 11h, 13 às 17h e 19h às 22h. Telefone: (62) 3372-1440. </w:t>
      </w:r>
    </w:p>
    <w:p w:rsidR="009136A9" w:rsidRPr="009136A9" w:rsidRDefault="009136A9" w:rsidP="009136A9">
      <w:pPr>
        <w:numPr>
          <w:ilvl w:val="2"/>
          <w:numId w:val="1"/>
        </w:numPr>
        <w:spacing w:line="360" w:lineRule="auto"/>
        <w:ind w:right="-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inscrição será feita pessoalmente ou mediante procuração .</w:t>
      </w:r>
    </w:p>
    <w:p w:rsidR="00330FCB" w:rsidRDefault="004421ED">
      <w:pPr>
        <w:numPr>
          <w:ilvl w:val="1"/>
          <w:numId w:val="1"/>
        </w:numPr>
        <w:spacing w:line="360" w:lineRule="auto"/>
        <w:ind w:right="-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TAXA DE INSCRIÇÃO: R$ 45,00. A Guia de recolhimento da União (GRU) será emitida no momento da inscrição e deverá ser paga e entregue na Secretaria da Unidade Especial de Ciências Humanas da Regional Goiás para efetivação da inscrição no processo seletivo. </w:t>
      </w:r>
    </w:p>
    <w:p w:rsidR="00330FCB" w:rsidRDefault="004421E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DOCUMENTOS EXIGIDOS</w:t>
      </w:r>
    </w:p>
    <w:p w:rsidR="00330FCB" w:rsidRDefault="004421ED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Fotos 3x4;</w:t>
      </w:r>
    </w:p>
    <w:p w:rsidR="00330FCB" w:rsidRDefault="004421ED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Cópia do documento de identidade, CPF e título eleitoral com comprovante de votação;</w:t>
      </w:r>
    </w:p>
    <w:p w:rsidR="00330FCB" w:rsidRDefault="004421ED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Comprovante de pagamento da </w:t>
      </w:r>
      <w:r>
        <w:rPr>
          <w:rFonts w:ascii="Times New Roman" w:hAnsi="Times New Roman"/>
          <w:bCs/>
        </w:rPr>
        <w:t xml:space="preserve">Guia de recolhimento da União (GRU) </w:t>
      </w:r>
      <w:r>
        <w:rPr>
          <w:rFonts w:ascii="Times New Roman" w:hAnsi="Times New Roman"/>
        </w:rPr>
        <w:t>da taxa de inscrição;</w:t>
      </w:r>
    </w:p>
    <w:p w:rsidR="00330FCB" w:rsidRDefault="004421ED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Curriculum Vitae,</w:t>
      </w:r>
      <w:r>
        <w:rPr>
          <w:rFonts w:ascii="Times New Roman" w:hAnsi="Times New Roman"/>
        </w:rPr>
        <w:t>modelo CNPq Lattes – com títulos devidamente comprovados. Os certificados de comprovação devem estar numerados, de acordo com a ordem do Lattes.</w:t>
      </w:r>
    </w:p>
    <w:p w:rsidR="00330FCB" w:rsidRDefault="004421ED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Documentos que comprovem a formação exigida no item 1.6 destas normas complementares;</w:t>
      </w:r>
    </w:p>
    <w:p w:rsidR="00330FCB" w:rsidRDefault="004421ED">
      <w:pPr>
        <w:pStyle w:val="PargrafodaLista"/>
        <w:numPr>
          <w:ilvl w:val="2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Termo de compromisso assinado pelo candidato concordando com as normas do Processo Seletivo.</w:t>
      </w:r>
    </w:p>
    <w:p w:rsidR="00330FCB" w:rsidRDefault="004421ED">
      <w:pPr>
        <w:numPr>
          <w:ilvl w:val="0"/>
          <w:numId w:val="1"/>
        </w:numPr>
        <w:spacing w:line="360" w:lineRule="auto"/>
        <w:ind w:right="-2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DAS PROVAS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o que dispõe a RESOLUÇÃO CCEP Nº 373 de 1994, a Chefia da Unidade Especial de Ciências Humanas da UFG estabelece que: </w:t>
      </w:r>
    </w:p>
    <w:p w:rsidR="00330FCB" w:rsidRDefault="004421E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processo seletivo para a contratação do Professor Substituto constará apenas de Prova Didática, com duração de 50 (cinquenta) minutos e realizada perante Comissão Examinadora composta de 3 (três) membros designados pela Chefia da Unidade Especial de Ciências Humanas da Regional Goiás.  </w:t>
      </w:r>
    </w:p>
    <w:p w:rsidR="00330FCB" w:rsidRDefault="004421E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prova didática obedecerá as seguintes normas: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3.2.1Após o encerramento da instalação do concurso, será sorteado o ponto da prova didática, que será realizada 24 (vinte e quatro) horas após o sorteio;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3.2.2O ponto sorteado para a prova será retirado da lista de 10 (dez) pontos, descritos no item 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destas normas complementares;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 Os candidatos deverão consultar a Comissão Examinadora, no ato do sorteio do ponto da Prova Didática, a respeito dos recursos materiais disponíveis na Unidade Especial de Ciências Humanas da Regional Goiás e requerê-los por escrito para a realização da prova;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326A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cronograma das demais atividades do concurso será divulgado durante a instalação do concurso;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</w:t>
      </w:r>
      <w:r w:rsidR="00326A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 facultado ao candidato o uso de quaisquer recursos didáticos, desde que providenciado por ele;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3.2.6 O tempo de instalação do equipamento será contado no tempo disponível para a prova;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3.2.7A Unidade Especial de Ciências Humanas e a Comissão Examinadora não se responsabilizarão por problemas relacionados ao uso e ao funcionamento dos equipamentos, inclusive no caso de queda ou de falta de energia e, caso o equipamento instalado para a aula não funcione, não será facultado tempo adicional ao candidato; </w:t>
      </w:r>
    </w:p>
    <w:p w:rsidR="00330FCB" w:rsidRDefault="004421ED">
      <w:pPr>
        <w:pStyle w:val="PargrafodaList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3.2.8</w:t>
      </w:r>
      <w:r w:rsidR="00326A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 candidatos deverão entregar, no início de sua apresentação, um plano de aula, referente ao ponto sorteado, em três vias; </w:t>
      </w:r>
    </w:p>
    <w:p w:rsidR="00330FCB" w:rsidRDefault="004421E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Cada membro da Comissão examinadora atribuirá ao candidato uma nota variável de 0(zero) a 10(dez); </w:t>
      </w:r>
    </w:p>
    <w:p w:rsidR="00330FCB" w:rsidRDefault="004421E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candidato que obtiver média igual ou m</w:t>
      </w:r>
      <w:r w:rsidR="00AA4191">
        <w:rPr>
          <w:rFonts w:ascii="Times New Roman" w:hAnsi="Times New Roman"/>
        </w:rPr>
        <w:t>aior que 7,0 será classificado;</w:t>
      </w:r>
    </w:p>
    <w:p w:rsidR="00330FCB" w:rsidRDefault="004421E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aprovado o candidato que, dentre todos os classificados, obtiver a maior nota; </w:t>
      </w:r>
    </w:p>
    <w:p w:rsidR="00330FCB" w:rsidRDefault="004421ED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caso de empate, será aproveitado o que tiver mais tempo de experiência no magistério superior. Persistindo o empate, será aproveitado o candidato com mais idade e mais experiência na docência. </w:t>
      </w:r>
    </w:p>
    <w:p w:rsidR="00497326" w:rsidRDefault="00497326" w:rsidP="00497326">
      <w:pPr>
        <w:pStyle w:val="PargrafodaLista"/>
        <w:ind w:left="360"/>
        <w:jc w:val="both"/>
        <w:rPr>
          <w:rFonts w:ascii="Times New Roman" w:hAnsi="Times New Roman"/>
        </w:rPr>
      </w:pPr>
    </w:p>
    <w:p w:rsidR="00330FCB" w:rsidRDefault="004421ED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DOS PONTOS PARA A PROVA DIDÁTICA </w:t>
      </w:r>
    </w:p>
    <w:p w:rsidR="00330FCB" w:rsidRPr="00EA573F" w:rsidRDefault="00330FCB" w:rsidP="00497326">
      <w:pPr>
        <w:ind w:left="360"/>
        <w:jc w:val="both"/>
      </w:pPr>
    </w:p>
    <w:p w:rsidR="00330FCB" w:rsidRPr="00EA573F" w:rsidRDefault="004421ED">
      <w:pPr>
        <w:ind w:left="709"/>
        <w:rPr>
          <w:sz w:val="22"/>
          <w:szCs w:val="22"/>
        </w:rPr>
      </w:pPr>
      <w:r w:rsidRPr="00EA573F">
        <w:rPr>
          <w:sz w:val="22"/>
          <w:szCs w:val="22"/>
        </w:rPr>
        <w:lastRenderedPageBreak/>
        <w:t>1) Filosofia da Educação em  Rousseau</w:t>
      </w:r>
      <w:r w:rsidR="00EA573F" w:rsidRPr="00EA573F">
        <w:rPr>
          <w:sz w:val="22"/>
          <w:szCs w:val="22"/>
        </w:rPr>
        <w:t>;</w:t>
      </w:r>
    </w:p>
    <w:p w:rsidR="00330FCB" w:rsidRDefault="004421ED">
      <w:pPr>
        <w:ind w:left="709"/>
        <w:rPr>
          <w:sz w:val="22"/>
          <w:szCs w:val="22"/>
        </w:rPr>
      </w:pPr>
      <w:r w:rsidRPr="00EA573F">
        <w:rPr>
          <w:sz w:val="22"/>
          <w:szCs w:val="22"/>
        </w:rPr>
        <w:t>2)  Ensino de Filosofia  e Didática</w:t>
      </w:r>
      <w:r w:rsidR="00EA573F" w:rsidRPr="00EA573F">
        <w:rPr>
          <w:sz w:val="22"/>
          <w:szCs w:val="22"/>
        </w:rPr>
        <w:t>;</w:t>
      </w:r>
    </w:p>
    <w:p w:rsidR="00EA573F" w:rsidRDefault="00EA573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497326">
        <w:rPr>
          <w:sz w:val="22"/>
          <w:szCs w:val="22"/>
        </w:rPr>
        <w:t xml:space="preserve">Eudaimonia na </w:t>
      </w:r>
      <w:r w:rsidR="00497326" w:rsidRPr="00C87384">
        <w:rPr>
          <w:i/>
          <w:sz w:val="22"/>
          <w:szCs w:val="22"/>
        </w:rPr>
        <w:t>Ética à Nicômaco</w:t>
      </w:r>
      <w:r w:rsidR="00497326">
        <w:rPr>
          <w:sz w:val="22"/>
          <w:szCs w:val="22"/>
        </w:rPr>
        <w:t xml:space="preserve"> de Aristóteles;</w:t>
      </w:r>
    </w:p>
    <w:p w:rsidR="00EA573F" w:rsidRDefault="00EA573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497326">
        <w:rPr>
          <w:sz w:val="22"/>
          <w:szCs w:val="22"/>
        </w:rPr>
        <w:t xml:space="preserve">A constituição da cidade-estado na </w:t>
      </w:r>
      <w:r w:rsidR="00497326" w:rsidRPr="00C87384">
        <w:rPr>
          <w:i/>
          <w:sz w:val="22"/>
          <w:szCs w:val="22"/>
        </w:rPr>
        <w:t>República</w:t>
      </w:r>
      <w:r w:rsidR="00497326">
        <w:rPr>
          <w:sz w:val="22"/>
          <w:szCs w:val="22"/>
        </w:rPr>
        <w:t xml:space="preserve"> de Platão;</w:t>
      </w:r>
    </w:p>
    <w:p w:rsidR="00EA573F" w:rsidRDefault="00EA573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497326">
        <w:rPr>
          <w:sz w:val="22"/>
          <w:szCs w:val="22"/>
        </w:rPr>
        <w:t>O contrato social em Thomas Hobbes;</w:t>
      </w:r>
    </w:p>
    <w:p w:rsidR="00EA573F" w:rsidRDefault="00EA573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497326">
        <w:rPr>
          <w:sz w:val="22"/>
          <w:szCs w:val="22"/>
        </w:rPr>
        <w:t xml:space="preserve">O </w:t>
      </w:r>
      <w:r w:rsidR="00497326" w:rsidRPr="00497326">
        <w:rPr>
          <w:i/>
          <w:sz w:val="22"/>
          <w:szCs w:val="22"/>
        </w:rPr>
        <w:t>cogito</w:t>
      </w:r>
      <w:r w:rsidR="00497326">
        <w:rPr>
          <w:sz w:val="22"/>
          <w:szCs w:val="22"/>
        </w:rPr>
        <w:t xml:space="preserve"> em Descartes;</w:t>
      </w:r>
    </w:p>
    <w:p w:rsidR="00EA573F" w:rsidRDefault="00EA573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="00497326">
        <w:rPr>
          <w:sz w:val="22"/>
          <w:szCs w:val="22"/>
        </w:rPr>
        <w:t>Moralidade em Kant;</w:t>
      </w:r>
    </w:p>
    <w:p w:rsidR="00EA573F" w:rsidRDefault="00EA573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="00497326">
        <w:rPr>
          <w:sz w:val="22"/>
          <w:szCs w:val="22"/>
        </w:rPr>
        <w:t>Diferença ontológica em Heidegger;</w:t>
      </w:r>
    </w:p>
    <w:p w:rsidR="00EA573F" w:rsidRDefault="00EA573F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="00497326">
        <w:rPr>
          <w:sz w:val="22"/>
          <w:szCs w:val="22"/>
        </w:rPr>
        <w:t>A concepção de ciência em Karl Popper;</w:t>
      </w:r>
    </w:p>
    <w:p w:rsidR="00330FCB" w:rsidRPr="000667BC" w:rsidRDefault="00C87384" w:rsidP="000667BC">
      <w:pPr>
        <w:ind w:firstLine="708"/>
        <w:rPr>
          <w:sz w:val="22"/>
          <w:szCs w:val="22"/>
        </w:rPr>
      </w:pPr>
      <w:r>
        <w:rPr>
          <w:sz w:val="22"/>
          <w:szCs w:val="22"/>
        </w:rPr>
        <w:t>10)</w:t>
      </w:r>
      <w:r w:rsidR="00497326">
        <w:rPr>
          <w:sz w:val="22"/>
          <w:szCs w:val="22"/>
        </w:rPr>
        <w:t>Thomas Kuhn e as revoluções científicas.</w:t>
      </w:r>
    </w:p>
    <w:p w:rsidR="00330FCB" w:rsidRDefault="004421ED">
      <w:pPr>
        <w:numPr>
          <w:ilvl w:val="0"/>
          <w:numId w:val="1"/>
        </w:numPr>
        <w:spacing w:after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DA INSTALAÇÃO DO CONCURSO:</w:t>
      </w:r>
    </w:p>
    <w:p w:rsidR="00330FCB" w:rsidRDefault="004421ED">
      <w:pPr>
        <w:spacing w:before="12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Chefia da Unidade Especial de Ciências Humanas da Regional Goiás disponibilizará, com antecedência, no sítio da internet da Regional Goiás ( </w:t>
      </w:r>
      <w:hyperlink r:id="rId9">
        <w:r>
          <w:rPr>
            <w:rStyle w:val="LinkdaInternet"/>
            <w:sz w:val="22"/>
            <w:szCs w:val="22"/>
          </w:rPr>
          <w:t>www.goias.ufg.br</w:t>
        </w:r>
      </w:hyperlink>
      <w:r>
        <w:rPr>
          <w:sz w:val="22"/>
          <w:szCs w:val="22"/>
        </w:rPr>
        <w:t xml:space="preserve"> ),  a data, horário e local da instalação, da realização da prova didática e demais etapas do processo seletivo simplificado objeto destas normas complementares. </w:t>
      </w:r>
    </w:p>
    <w:p w:rsidR="00330FCB" w:rsidRDefault="004421ED">
      <w:pPr>
        <w:numPr>
          <w:ilvl w:val="0"/>
          <w:numId w:val="1"/>
        </w:numPr>
        <w:spacing w:before="288" w:after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DISPOSIÇÕES FINAIS:</w:t>
      </w:r>
    </w:p>
    <w:p w:rsidR="00330FCB" w:rsidRDefault="004421ED">
      <w:pPr>
        <w:spacing w:before="12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concurso realizar-se-á em conformidade com Resolução CCEP n° 373 de 02/03/1994. Os casos omissos serão tratados pela Chefia da Unidade Especial de Ciências Humanas da Regional Goiás. </w:t>
      </w:r>
    </w:p>
    <w:p w:rsidR="00330FCB" w:rsidRDefault="00330FCB">
      <w:pPr>
        <w:spacing w:before="120" w:after="0" w:line="360" w:lineRule="auto"/>
        <w:ind w:firstLine="709"/>
        <w:jc w:val="both"/>
        <w:rPr>
          <w:sz w:val="22"/>
          <w:szCs w:val="22"/>
        </w:rPr>
      </w:pPr>
    </w:p>
    <w:p w:rsidR="00330FCB" w:rsidRDefault="004421ED">
      <w:pPr>
        <w:ind w:left="142" w:hanging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Goiás, </w:t>
      </w:r>
      <w:r w:rsidR="00497326">
        <w:rPr>
          <w:sz w:val="22"/>
          <w:szCs w:val="22"/>
        </w:rPr>
        <w:t>1</w:t>
      </w:r>
      <w:r w:rsidR="00413E3E">
        <w:rPr>
          <w:sz w:val="22"/>
          <w:szCs w:val="22"/>
        </w:rPr>
        <w:t>8</w:t>
      </w:r>
      <w:r>
        <w:rPr>
          <w:sz w:val="22"/>
          <w:szCs w:val="22"/>
        </w:rPr>
        <w:t xml:space="preserve"> de </w:t>
      </w:r>
      <w:r w:rsidR="00497326">
        <w:rPr>
          <w:sz w:val="22"/>
          <w:szCs w:val="22"/>
        </w:rPr>
        <w:t>maio</w:t>
      </w:r>
      <w:r>
        <w:rPr>
          <w:sz w:val="22"/>
          <w:szCs w:val="22"/>
        </w:rPr>
        <w:t xml:space="preserve"> de 2015.</w:t>
      </w:r>
    </w:p>
    <w:p w:rsidR="00330FCB" w:rsidRDefault="00330FCB" w:rsidP="00413E3E"/>
    <w:p w:rsidR="00330FCB" w:rsidRDefault="004421ED">
      <w:pPr>
        <w:shd w:val="clear" w:color="auto" w:fill="FFFFFF"/>
        <w:spacing w:line="295" w:lineRule="atLeast"/>
        <w:jc w:val="center"/>
        <w:rPr>
          <w:b/>
          <w:color w:val="000000"/>
          <w:sz w:val="22"/>
          <w:szCs w:val="22"/>
          <w:lang w:val="pt-BR" w:eastAsia="pt-BR"/>
        </w:rPr>
      </w:pPr>
      <w:r>
        <w:rPr>
          <w:b/>
          <w:bCs/>
          <w:sz w:val="22"/>
          <w:szCs w:val="22"/>
        </w:rPr>
        <w:t xml:space="preserve">Prof.ª Drª Geovana </w:t>
      </w:r>
      <w:r>
        <w:rPr>
          <w:b/>
          <w:color w:val="000000"/>
          <w:sz w:val="22"/>
          <w:szCs w:val="22"/>
          <w:lang w:val="pt-BR" w:eastAsia="pt-BR"/>
        </w:rPr>
        <w:t>de Lourdes Alves Ramos</w:t>
      </w:r>
    </w:p>
    <w:p w:rsidR="00330FCB" w:rsidRDefault="004421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Chefe em exercício da Unidade Especial de Ciências Humanas </w:t>
      </w:r>
    </w:p>
    <w:p w:rsidR="00330FCB" w:rsidRDefault="004421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Regional Goiás/UFG</w:t>
      </w:r>
    </w:p>
    <w:p w:rsidR="00330FCB" w:rsidRDefault="00330FCB">
      <w:pPr>
        <w:jc w:val="center"/>
      </w:pPr>
    </w:p>
    <w:p w:rsidR="00330FCB" w:rsidRDefault="00330FCB"/>
    <w:sectPr w:rsidR="00330FCB" w:rsidSect="000B07FB">
      <w:footerReference w:type="default" r:id="rId10"/>
      <w:pgSz w:w="11906" w:h="16838"/>
      <w:pgMar w:top="1135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FB" w:rsidRDefault="00F32FFB">
      <w:pPr>
        <w:spacing w:after="0" w:line="240" w:lineRule="auto"/>
      </w:pPr>
      <w:r>
        <w:separator/>
      </w:r>
    </w:p>
  </w:endnote>
  <w:endnote w:type="continuationSeparator" w:id="1">
    <w:p w:rsidR="00F32FFB" w:rsidRDefault="00F3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CB" w:rsidRDefault="000732B1">
    <w:pPr>
      <w:pStyle w:val="Rodap"/>
      <w:jc w:val="right"/>
    </w:pPr>
    <w:r>
      <w:fldChar w:fldCharType="begin"/>
    </w:r>
    <w:r w:rsidR="004421ED">
      <w:instrText>PAGE</w:instrText>
    </w:r>
    <w:r>
      <w:fldChar w:fldCharType="separate"/>
    </w:r>
    <w:r w:rsidR="00731C61">
      <w:rPr>
        <w:noProof/>
      </w:rPr>
      <w:t>1</w:t>
    </w:r>
    <w:r>
      <w:fldChar w:fldCharType="end"/>
    </w:r>
  </w:p>
  <w:p w:rsidR="00330FCB" w:rsidRDefault="00330FC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FB" w:rsidRDefault="00F32FFB">
      <w:pPr>
        <w:spacing w:after="0" w:line="240" w:lineRule="auto"/>
      </w:pPr>
      <w:r>
        <w:separator/>
      </w:r>
    </w:p>
  </w:footnote>
  <w:footnote w:type="continuationSeparator" w:id="1">
    <w:p w:rsidR="00F32FFB" w:rsidRDefault="00F3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4CC"/>
    <w:multiLevelType w:val="multilevel"/>
    <w:tmpl w:val="DDE88B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57C84C02"/>
    <w:multiLevelType w:val="multilevel"/>
    <w:tmpl w:val="529CA2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FCB"/>
    <w:rsid w:val="000667BC"/>
    <w:rsid w:val="000732B1"/>
    <w:rsid w:val="000B07FB"/>
    <w:rsid w:val="000E3EF1"/>
    <w:rsid w:val="00326A74"/>
    <w:rsid w:val="00330FCB"/>
    <w:rsid w:val="00413E3E"/>
    <w:rsid w:val="004421ED"/>
    <w:rsid w:val="00497326"/>
    <w:rsid w:val="00556596"/>
    <w:rsid w:val="00731C61"/>
    <w:rsid w:val="008E13E0"/>
    <w:rsid w:val="009136A9"/>
    <w:rsid w:val="009912D9"/>
    <w:rsid w:val="00AA4191"/>
    <w:rsid w:val="00AC185A"/>
    <w:rsid w:val="00AD4D4D"/>
    <w:rsid w:val="00AF69CC"/>
    <w:rsid w:val="00C77832"/>
    <w:rsid w:val="00C87384"/>
    <w:rsid w:val="00EA573F"/>
    <w:rsid w:val="00F3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7832"/>
    <w:pPr>
      <w:suppressAutoHyphens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paragraph" w:styleId="Ttulo1">
    <w:name w:val="heading 1"/>
    <w:basedOn w:val="Normal"/>
    <w:rsid w:val="00C77832"/>
    <w:pPr>
      <w:keepNext/>
      <w:jc w:val="center"/>
      <w:outlineLvl w:val="0"/>
    </w:pPr>
    <w:rPr>
      <w:rFonts w:ascii="Arial" w:eastAsia="Arial Unicode MS" w:hAnsi="Arial" w:cs="Arial"/>
      <w:b/>
      <w:bCs/>
      <w:sz w:val="18"/>
      <w:szCs w:val="18"/>
      <w:lang w:val="pt-BR"/>
    </w:rPr>
  </w:style>
  <w:style w:type="paragraph" w:styleId="Ttulo2">
    <w:name w:val="heading 2"/>
    <w:basedOn w:val="Normal"/>
    <w:rsid w:val="00C77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rsid w:val="00C77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832"/>
  </w:style>
  <w:style w:type="character" w:customStyle="1" w:styleId="WW-Absatz-Standardschriftart">
    <w:name w:val="WW-Absatz-Standardschriftart"/>
    <w:rsid w:val="00C77832"/>
  </w:style>
  <w:style w:type="character" w:customStyle="1" w:styleId="WW-Absatz-Standardschriftart1">
    <w:name w:val="WW-Absatz-Standardschriftart1"/>
    <w:rsid w:val="00C77832"/>
  </w:style>
  <w:style w:type="character" w:customStyle="1" w:styleId="WW-Absatz-Standardschriftart11">
    <w:name w:val="WW-Absatz-Standardschriftart11"/>
    <w:rsid w:val="00C77832"/>
  </w:style>
  <w:style w:type="character" w:customStyle="1" w:styleId="WW-Absatz-Standardschriftart111">
    <w:name w:val="WW-Absatz-Standardschriftart111"/>
    <w:rsid w:val="00C77832"/>
  </w:style>
  <w:style w:type="character" w:customStyle="1" w:styleId="WW-Absatz-Standardschriftart1111">
    <w:name w:val="WW-Absatz-Standardschriftart1111"/>
    <w:rsid w:val="00C77832"/>
  </w:style>
  <w:style w:type="character" w:customStyle="1" w:styleId="Fontepargpadro4">
    <w:name w:val="Fonte parág. padrão4"/>
    <w:rsid w:val="00C77832"/>
  </w:style>
  <w:style w:type="character" w:customStyle="1" w:styleId="WW8Num2z0">
    <w:name w:val="WW8Num2z0"/>
    <w:rsid w:val="00C77832"/>
    <w:rPr>
      <w:rFonts w:cs="Times New Roman"/>
    </w:rPr>
  </w:style>
  <w:style w:type="character" w:customStyle="1" w:styleId="WW8Num4z0">
    <w:name w:val="WW8Num4z0"/>
    <w:rsid w:val="00C77832"/>
    <w:rPr>
      <w:rFonts w:ascii="Wingdings" w:hAnsi="Wingdings"/>
      <w:sz w:val="16"/>
    </w:rPr>
  </w:style>
  <w:style w:type="character" w:customStyle="1" w:styleId="WW8Num4z1">
    <w:name w:val="WW8Num4z1"/>
    <w:rsid w:val="00C77832"/>
    <w:rPr>
      <w:rFonts w:ascii="Courier New" w:hAnsi="Courier New"/>
    </w:rPr>
  </w:style>
  <w:style w:type="character" w:customStyle="1" w:styleId="WW8Num4z2">
    <w:name w:val="WW8Num4z2"/>
    <w:rsid w:val="00C77832"/>
    <w:rPr>
      <w:rFonts w:ascii="Wingdings" w:hAnsi="Wingdings"/>
    </w:rPr>
  </w:style>
  <w:style w:type="character" w:customStyle="1" w:styleId="WW8Num4z3">
    <w:name w:val="WW8Num4z3"/>
    <w:rsid w:val="00C77832"/>
    <w:rPr>
      <w:rFonts w:ascii="Symbol" w:hAnsi="Symbol"/>
    </w:rPr>
  </w:style>
  <w:style w:type="character" w:customStyle="1" w:styleId="Fontepargpadro3">
    <w:name w:val="Fonte parág. padrão3"/>
    <w:rsid w:val="00C77832"/>
  </w:style>
  <w:style w:type="character" w:customStyle="1" w:styleId="Fontepargpadro2">
    <w:name w:val="Fonte parág. padrão2"/>
    <w:rsid w:val="00C77832"/>
  </w:style>
  <w:style w:type="character" w:customStyle="1" w:styleId="WW-Absatz-Standardschriftart11111">
    <w:name w:val="WW-Absatz-Standardschriftart11111"/>
    <w:rsid w:val="00C77832"/>
  </w:style>
  <w:style w:type="character" w:customStyle="1" w:styleId="WW-Absatz-Standardschriftart111111">
    <w:name w:val="WW-Absatz-Standardschriftart111111"/>
    <w:rsid w:val="00C77832"/>
  </w:style>
  <w:style w:type="character" w:customStyle="1" w:styleId="WW-Absatz-Standardschriftart1111111">
    <w:name w:val="WW-Absatz-Standardschriftart1111111"/>
    <w:rsid w:val="00C77832"/>
  </w:style>
  <w:style w:type="character" w:customStyle="1" w:styleId="WW-Absatz-Standardschriftart11111111">
    <w:name w:val="WW-Absatz-Standardschriftart11111111"/>
    <w:rsid w:val="00C77832"/>
  </w:style>
  <w:style w:type="character" w:customStyle="1" w:styleId="WW-Absatz-Standardschriftart111111111">
    <w:name w:val="WW-Absatz-Standardschriftart111111111"/>
    <w:rsid w:val="00C77832"/>
  </w:style>
  <w:style w:type="character" w:customStyle="1" w:styleId="WW-Absatz-Standardschriftart1111111111">
    <w:name w:val="WW-Absatz-Standardschriftart1111111111"/>
    <w:rsid w:val="00C77832"/>
  </w:style>
  <w:style w:type="character" w:customStyle="1" w:styleId="WW-Absatz-Standardschriftart11111111111">
    <w:name w:val="WW-Absatz-Standardschriftart11111111111"/>
    <w:rsid w:val="00C77832"/>
  </w:style>
  <w:style w:type="character" w:customStyle="1" w:styleId="WW-Absatz-Standardschriftart111111111111">
    <w:name w:val="WW-Absatz-Standardschriftart111111111111"/>
    <w:rsid w:val="00C77832"/>
  </w:style>
  <w:style w:type="character" w:customStyle="1" w:styleId="WW-Absatz-Standardschriftart1111111111111">
    <w:name w:val="WW-Absatz-Standardschriftart1111111111111"/>
    <w:rsid w:val="00C77832"/>
  </w:style>
  <w:style w:type="character" w:customStyle="1" w:styleId="Fontepargpadro1">
    <w:name w:val="Fonte parág. padrão1"/>
    <w:rsid w:val="00C77832"/>
  </w:style>
  <w:style w:type="character" w:styleId="Nmerodepgina">
    <w:name w:val="page number"/>
    <w:basedOn w:val="Fontepargpadro1"/>
    <w:rsid w:val="00C77832"/>
  </w:style>
  <w:style w:type="character" w:customStyle="1" w:styleId="LinkdaInternet">
    <w:name w:val="Link da Internet"/>
    <w:basedOn w:val="Fontepargpadro1"/>
    <w:rsid w:val="00C77832"/>
    <w:rPr>
      <w:color w:val="0000FF"/>
      <w:u w:val="single"/>
    </w:rPr>
  </w:style>
  <w:style w:type="character" w:customStyle="1" w:styleId="corpobold1">
    <w:name w:val="corpo_bold1"/>
    <w:basedOn w:val="Fontepargpadro1"/>
    <w:rsid w:val="00C77832"/>
    <w:rPr>
      <w:rFonts w:ascii="Verdana" w:hAnsi="Verdana"/>
      <w:b/>
      <w:bCs/>
      <w:strike w:val="0"/>
      <w:dstrike w:val="0"/>
      <w:color w:val="000000"/>
      <w:sz w:val="13"/>
      <w:szCs w:val="13"/>
      <w:u w:val="none"/>
    </w:rPr>
  </w:style>
  <w:style w:type="character" w:customStyle="1" w:styleId="CharChar1">
    <w:name w:val="Char Char1"/>
    <w:basedOn w:val="Fontepargpadro4"/>
    <w:rsid w:val="00C77832"/>
    <w:rPr>
      <w:sz w:val="24"/>
      <w:szCs w:val="24"/>
      <w:lang w:val="pt-PT"/>
    </w:rPr>
  </w:style>
  <w:style w:type="character" w:customStyle="1" w:styleId="CharChar">
    <w:name w:val="Char Char"/>
    <w:basedOn w:val="Fontepargpadro4"/>
    <w:rsid w:val="00C77832"/>
    <w:rPr>
      <w:rFonts w:ascii="Tahoma" w:hAnsi="Tahoma" w:cs="Tahoma"/>
      <w:sz w:val="16"/>
      <w:szCs w:val="16"/>
      <w:lang w:val="pt-PT"/>
    </w:rPr>
  </w:style>
  <w:style w:type="character" w:customStyle="1" w:styleId="RodapChar">
    <w:name w:val="Rodapé Char"/>
    <w:basedOn w:val="Fontepargpadro"/>
    <w:rsid w:val="00C77832"/>
    <w:rPr>
      <w:sz w:val="24"/>
      <w:szCs w:val="24"/>
      <w:lang w:val="pt-PT" w:eastAsia="ar-SA"/>
    </w:rPr>
  </w:style>
  <w:style w:type="character" w:customStyle="1" w:styleId="ListLabel1">
    <w:name w:val="ListLabel 1"/>
    <w:rsid w:val="00C77832"/>
    <w:rPr>
      <w:b w:val="0"/>
    </w:rPr>
  </w:style>
  <w:style w:type="character" w:customStyle="1" w:styleId="ListLabel2">
    <w:name w:val="ListLabel 2"/>
    <w:rsid w:val="00C77832"/>
    <w:rPr>
      <w:rFonts w:cs="Courier New"/>
    </w:rPr>
  </w:style>
  <w:style w:type="character" w:customStyle="1" w:styleId="ListLabel3">
    <w:name w:val="ListLabel 3"/>
    <w:rsid w:val="00C77832"/>
    <w:rPr>
      <w:u w:val="none"/>
    </w:rPr>
  </w:style>
  <w:style w:type="character" w:customStyle="1" w:styleId="ListLabel4">
    <w:name w:val="ListLabel 4"/>
    <w:rsid w:val="00C77832"/>
    <w:rPr>
      <w:b/>
    </w:rPr>
  </w:style>
  <w:style w:type="paragraph" w:styleId="Ttulo">
    <w:name w:val="Title"/>
    <w:basedOn w:val="Normal"/>
    <w:next w:val="Corpodotexto"/>
    <w:rsid w:val="00C77832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customStyle="1" w:styleId="Corpodotexto">
    <w:name w:val="Corpo do texto"/>
    <w:basedOn w:val="Normal"/>
    <w:rsid w:val="00C77832"/>
    <w:pPr>
      <w:jc w:val="both"/>
    </w:pPr>
    <w:rPr>
      <w:szCs w:val="20"/>
      <w:lang w:val="pt-BR"/>
    </w:rPr>
  </w:style>
  <w:style w:type="paragraph" w:styleId="Lista">
    <w:name w:val="List"/>
    <w:basedOn w:val="Corpodotexto"/>
    <w:rsid w:val="00C77832"/>
    <w:rPr>
      <w:rFonts w:cs="Mangal"/>
    </w:rPr>
  </w:style>
  <w:style w:type="paragraph" w:styleId="Legenda">
    <w:name w:val="caption"/>
    <w:basedOn w:val="Normal"/>
    <w:rsid w:val="00C77832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ndice">
    <w:name w:val="Índice"/>
    <w:basedOn w:val="Normal"/>
    <w:rsid w:val="00C77832"/>
    <w:pPr>
      <w:suppressLineNumbers/>
    </w:pPr>
    <w:rPr>
      <w:rFonts w:ascii="Times" w:hAnsi="Times" w:cs="Tahoma"/>
    </w:rPr>
  </w:style>
  <w:style w:type="paragraph" w:customStyle="1" w:styleId="Ttulo10">
    <w:name w:val="Título1"/>
    <w:basedOn w:val="Normal"/>
    <w:rsid w:val="00C7783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rsid w:val="00C77832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rsid w:val="00C7783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3">
    <w:name w:val="Legenda3"/>
    <w:basedOn w:val="Normal"/>
    <w:rsid w:val="00C77832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Legenda2">
    <w:name w:val="Legenda2"/>
    <w:basedOn w:val="Normal"/>
    <w:rsid w:val="00C77832"/>
    <w:pPr>
      <w:suppressLineNumbers/>
      <w:spacing w:before="120" w:after="120"/>
    </w:pPr>
    <w:rPr>
      <w:i/>
      <w:iCs/>
    </w:rPr>
  </w:style>
  <w:style w:type="paragraph" w:styleId="Rodap">
    <w:name w:val="footer"/>
    <w:basedOn w:val="Normal"/>
    <w:rsid w:val="00C77832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C77832"/>
    <w:pPr>
      <w:ind w:firstLine="567"/>
      <w:jc w:val="center"/>
    </w:pPr>
    <w:rPr>
      <w:b/>
      <w:bCs/>
      <w:szCs w:val="20"/>
      <w:lang w:val="pt-BR"/>
    </w:rPr>
  </w:style>
  <w:style w:type="paragraph" w:customStyle="1" w:styleId="Recuodecorpodetexto21">
    <w:name w:val="Recuo de corpo de texto 21"/>
    <w:basedOn w:val="Normal"/>
    <w:rsid w:val="00C77832"/>
    <w:pPr>
      <w:ind w:right="-624" w:firstLine="340"/>
    </w:pPr>
    <w:rPr>
      <w:rFonts w:ascii="Century Gothic" w:hAnsi="Century Gothic"/>
      <w:sz w:val="20"/>
      <w:szCs w:val="20"/>
      <w:lang w:val="pt-BR"/>
    </w:rPr>
  </w:style>
  <w:style w:type="paragraph" w:styleId="NormalWeb">
    <w:name w:val="Normal (Web)"/>
    <w:basedOn w:val="Normal"/>
    <w:rsid w:val="00C77832"/>
    <w:pPr>
      <w:suppressAutoHyphens w:val="0"/>
      <w:spacing w:before="280" w:after="280"/>
    </w:pPr>
    <w:rPr>
      <w:rFonts w:ascii="Verdana" w:hAnsi="Verdana"/>
      <w:color w:val="000000"/>
      <w:sz w:val="13"/>
      <w:szCs w:val="13"/>
      <w:lang w:val="pt-BR"/>
    </w:rPr>
  </w:style>
  <w:style w:type="paragraph" w:customStyle="1" w:styleId="Corpodetexto31">
    <w:name w:val="Corpo de texto 31"/>
    <w:basedOn w:val="Normal"/>
    <w:rsid w:val="00C77832"/>
    <w:pPr>
      <w:suppressAutoHyphens w:val="0"/>
      <w:spacing w:after="120"/>
    </w:pPr>
    <w:rPr>
      <w:sz w:val="16"/>
      <w:szCs w:val="16"/>
      <w:lang w:val="pt-BR"/>
    </w:rPr>
  </w:style>
  <w:style w:type="paragraph" w:customStyle="1" w:styleId="Corpodetexto21">
    <w:name w:val="Corpo de texto 21"/>
    <w:basedOn w:val="Normal"/>
    <w:rsid w:val="00C77832"/>
    <w:pPr>
      <w:jc w:val="both"/>
    </w:pPr>
    <w:rPr>
      <w:rFonts w:ascii="Arial" w:hAnsi="Arial" w:cs="Arial"/>
      <w:color w:val="000000"/>
      <w:sz w:val="20"/>
    </w:rPr>
  </w:style>
  <w:style w:type="paragraph" w:styleId="Cabealho">
    <w:name w:val="header"/>
    <w:basedOn w:val="Normal"/>
    <w:rsid w:val="00C77832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C77832"/>
    <w:pPr>
      <w:suppressLineNumbers/>
    </w:pPr>
  </w:style>
  <w:style w:type="paragraph" w:customStyle="1" w:styleId="Ttulodatabela">
    <w:name w:val="Título da tabela"/>
    <w:basedOn w:val="Contedodatabela"/>
    <w:rsid w:val="00C77832"/>
    <w:pPr>
      <w:jc w:val="center"/>
    </w:pPr>
    <w:rPr>
      <w:b/>
      <w:bCs/>
      <w:i/>
      <w:iCs/>
    </w:rPr>
  </w:style>
  <w:style w:type="paragraph" w:customStyle="1" w:styleId="Corpodetextorecuado">
    <w:name w:val="Corpo de texto recuado"/>
    <w:basedOn w:val="Normal"/>
    <w:rsid w:val="00C77832"/>
    <w:pPr>
      <w:spacing w:after="120"/>
      <w:ind w:left="283"/>
    </w:pPr>
  </w:style>
  <w:style w:type="paragraph" w:customStyle="1" w:styleId="Ttulodetabela">
    <w:name w:val="Título de tabela"/>
    <w:basedOn w:val="Contedodetabela"/>
    <w:rsid w:val="00C77832"/>
    <w:pPr>
      <w:jc w:val="center"/>
    </w:pPr>
    <w:rPr>
      <w:b/>
      <w:bCs/>
    </w:rPr>
  </w:style>
  <w:style w:type="paragraph" w:styleId="Textodebalo">
    <w:name w:val="Balloon Text"/>
    <w:basedOn w:val="Normal"/>
    <w:rsid w:val="00C77832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C77832"/>
    <w:pPr>
      <w:suppressLineNumbers/>
    </w:pPr>
  </w:style>
  <w:style w:type="paragraph" w:customStyle="1" w:styleId="Default">
    <w:name w:val="Default"/>
    <w:rsid w:val="00C77832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rsid w:val="00C77832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paragraph" w:styleId="Ttulo1">
    <w:name w:val="heading 1"/>
    <w:basedOn w:val="Normal"/>
    <w:pPr>
      <w:keepNext/>
      <w:jc w:val="center"/>
      <w:outlineLvl w:val="0"/>
    </w:pPr>
    <w:rPr>
      <w:rFonts w:ascii="Arial" w:eastAsia="Arial Unicode MS" w:hAnsi="Arial" w:cs="Arial"/>
      <w:b/>
      <w:bCs/>
      <w:sz w:val="18"/>
      <w:szCs w:val="18"/>
      <w:lang w:val="pt-BR"/>
    </w:rPr>
  </w:style>
  <w:style w:type="paragraph" w:styleId="Ttulo2">
    <w:name w:val="heading 2"/>
    <w:basedOn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LinkdaInternet">
    <w:name w:val="Link da Internet"/>
    <w:basedOn w:val="Fontepargpadro1"/>
    <w:rPr>
      <w:color w:val="0000FF"/>
      <w:u w:val="single"/>
    </w:rPr>
  </w:style>
  <w:style w:type="character" w:customStyle="1" w:styleId="corpobold1">
    <w:name w:val="corpo_bold1"/>
    <w:basedOn w:val="Fontepargpadro1"/>
    <w:rPr>
      <w:rFonts w:ascii="Verdana" w:hAnsi="Verdana"/>
      <w:b/>
      <w:bCs/>
      <w:strike w:val="0"/>
      <w:dstrike w:val="0"/>
      <w:color w:val="000000"/>
      <w:sz w:val="13"/>
      <w:szCs w:val="13"/>
      <w:u w:val="none"/>
    </w:rPr>
  </w:style>
  <w:style w:type="character" w:customStyle="1" w:styleId="CharChar1">
    <w:name w:val="Char Char1"/>
    <w:basedOn w:val="Fontepargpadro4"/>
    <w:rPr>
      <w:sz w:val="24"/>
      <w:szCs w:val="24"/>
      <w:lang w:val="pt-PT"/>
    </w:rPr>
  </w:style>
  <w:style w:type="character" w:customStyle="1" w:styleId="CharChar">
    <w:name w:val="Char Char"/>
    <w:basedOn w:val="Fontepargpadro4"/>
    <w:rPr>
      <w:rFonts w:ascii="Tahoma" w:hAnsi="Tahoma" w:cs="Tahoma"/>
      <w:sz w:val="16"/>
      <w:szCs w:val="16"/>
      <w:lang w:val="pt-PT"/>
    </w:rPr>
  </w:style>
  <w:style w:type="character" w:customStyle="1" w:styleId="RodapChar">
    <w:name w:val="Rodapé Char"/>
    <w:basedOn w:val="Fontepargpadro"/>
    <w:rPr>
      <w:sz w:val="24"/>
      <w:szCs w:val="24"/>
      <w:lang w:val="pt-PT" w:eastAsia="ar-SA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customStyle="1" w:styleId="Corpodotexto">
    <w:name w:val="Corpo do texto"/>
    <w:basedOn w:val="Normal"/>
    <w:pPr>
      <w:jc w:val="both"/>
    </w:pPr>
    <w:rPr>
      <w:szCs w:val="20"/>
      <w:lang w:val="pt-BR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Times" w:hAnsi="Times" w:cs="Tahoma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pPr>
      <w:ind w:firstLine="567"/>
      <w:jc w:val="center"/>
    </w:pPr>
    <w:rPr>
      <w:b/>
      <w:bCs/>
      <w:szCs w:val="20"/>
      <w:lang w:val="pt-BR"/>
    </w:rPr>
  </w:style>
  <w:style w:type="paragraph" w:customStyle="1" w:styleId="Recuodecorpodetexto21">
    <w:name w:val="Recuo de corpo de texto 21"/>
    <w:basedOn w:val="Normal"/>
    <w:pPr>
      <w:ind w:right="-624" w:firstLine="340"/>
    </w:pPr>
    <w:rPr>
      <w:rFonts w:ascii="Century Gothic" w:hAnsi="Century Gothic"/>
      <w:sz w:val="20"/>
      <w:szCs w:val="20"/>
      <w:lang w:val="pt-BR"/>
    </w:rPr>
  </w:style>
  <w:style w:type="paragraph" w:styleId="NormalWeb">
    <w:name w:val="Normal (Web)"/>
    <w:basedOn w:val="Normal"/>
    <w:pPr>
      <w:suppressAutoHyphens w:val="0"/>
      <w:spacing w:before="280" w:after="280"/>
    </w:pPr>
    <w:rPr>
      <w:rFonts w:ascii="Verdana" w:hAnsi="Verdana"/>
      <w:color w:val="000000"/>
      <w:sz w:val="13"/>
      <w:szCs w:val="13"/>
      <w:lang w:val="pt-BR"/>
    </w:rPr>
  </w:style>
  <w:style w:type="paragraph" w:customStyle="1" w:styleId="Corpodetexto31">
    <w:name w:val="Corpo de texto 31"/>
    <w:basedOn w:val="Normal"/>
    <w:pPr>
      <w:suppressAutoHyphens w:val="0"/>
      <w:spacing w:after="120"/>
    </w:pPr>
    <w:rPr>
      <w:sz w:val="16"/>
      <w:szCs w:val="16"/>
      <w:lang w:val="pt-BR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color w:val="000000"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rpodetextorecuado">
    <w:name w:val="Corpo de texto recuado"/>
    <w:basedOn w:val="Normal"/>
    <w:pPr>
      <w:spacing w:after="120"/>
      <w:ind w:left="283"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ias.uf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</dc:creator>
  <cp:lastModifiedBy>Usuario</cp:lastModifiedBy>
  <cp:revision>3</cp:revision>
  <cp:lastPrinted>2014-03-22T15:30:00Z</cp:lastPrinted>
  <dcterms:created xsi:type="dcterms:W3CDTF">2015-05-18T22:20:00Z</dcterms:created>
  <dcterms:modified xsi:type="dcterms:W3CDTF">2015-05-18T22:37:00Z</dcterms:modified>
</cp:coreProperties>
</file>