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118"/>
        <w:spacing w:line="100" w:lineRule="atLeast"/>
        <w:rPr>
          <w:sz w:val="20"/>
        </w:rPr>
      </w:pPr>
      <w:r>
        <w:rPr>
          <w:sz w:val="20"/>
        </w:rPr>
        <w:t>SERVIÇO PÚBLICO FEDERAL</w:t>
      </w:r>
    </w:p>
    <w:p>
      <w:pPr>
        <w:pStyle w:val="style118"/>
        <w:spacing w:line="100" w:lineRule="atLeast"/>
        <w:rPr>
          <w:sz w:val="20"/>
        </w:rPr>
      </w:pPr>
      <w:r>
        <w:rPr>
          <w:sz w:val="20"/>
        </w:rPr>
        <w:t>UNIVERSIDADE FEDERAL DE GOIÁS</w:t>
      </w:r>
    </w:p>
    <w:p>
      <w:pPr>
        <w:pStyle w:val="style0"/>
        <w:spacing w:line="100" w:lineRule="atLeast"/>
        <w:jc w:val="center"/>
        <w:rPr>
          <w:b/>
          <w:bCs/>
          <w:caps/>
          <w:sz w:val="20"/>
        </w:rPr>
      </w:pPr>
      <w:r>
        <w:rPr>
          <w:b/>
          <w:bCs/>
          <w:caps/>
          <w:sz w:val="20"/>
        </w:rPr>
        <w:t>PRÓ-REITORIA de ADMINISTRAÇÃO E FINANÇAS</w:t>
      </w:r>
    </w:p>
    <w:p>
      <w:pPr>
        <w:pStyle w:val="style0"/>
        <w:spacing w:line="100" w:lineRule="atLeast"/>
        <w:jc w:val="center"/>
        <w:rPr/>
      </w:pPr>
      <w:r>
        <w:rPr/>
      </w:r>
    </w:p>
    <w:p>
      <w:pPr>
        <w:pStyle w:val="style0"/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EDITAL Nº 01/2016</w:t>
      </w:r>
    </w:p>
    <w:p>
      <w:pPr>
        <w:pStyle w:val="style0"/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SELEÇÃO DE ESTAGIÁRIOS</w:t>
      </w:r>
    </w:p>
    <w:p>
      <w:pPr>
        <w:pStyle w:val="style0"/>
        <w:spacing w:line="100" w:lineRule="atLeast"/>
        <w:jc w:val="center"/>
        <w:rPr/>
      </w:pPr>
      <w:r>
        <w:rPr/>
      </w:r>
    </w:p>
    <w:p>
      <w:pPr>
        <w:pStyle w:val="style0"/>
        <w:spacing w:after="0" w:before="0"/>
        <w:ind w:firstLine="863" w:left="0" w:right="0"/>
        <w:contextualSpacing w:val="false"/>
        <w:rPr>
          <w:color w:val="000000"/>
          <w:szCs w:val="24"/>
        </w:rPr>
      </w:pPr>
      <w:r>
        <w:rPr>
          <w:color w:val="000000"/>
          <w:szCs w:val="24"/>
        </w:rPr>
        <w:t xml:space="preserve">A Direção da Regional Goiás/Universidade Federal de Goiás (RGoiás/UFG) e o Pró-Reitor de Administração e Finanças/PROAD da Universidade Federal de Goiás, no uso de suas atribuições legais, tornam público o presente edital visando a seleção de 04 </w:t>
      </w:r>
      <w:r>
        <w:rPr>
          <w:szCs w:val="24"/>
        </w:rPr>
        <w:t xml:space="preserve">(quatro) </w:t>
      </w:r>
      <w:r>
        <w:rPr>
          <w:color w:val="000000"/>
          <w:szCs w:val="24"/>
        </w:rPr>
        <w:t>estagiários para preenchimento das</w:t>
      </w:r>
      <w:r>
        <w:rPr>
          <w:b/>
          <w:color w:val="000000"/>
          <w:szCs w:val="24"/>
        </w:rPr>
        <w:t xml:space="preserve"> vagas de estágio curricular não obrigatório </w:t>
      </w:r>
      <w:r>
        <w:rPr>
          <w:color w:val="000000"/>
          <w:szCs w:val="24"/>
        </w:rPr>
        <w:t xml:space="preserve">da Regional Goiás – Universidade Federal de Goiás. As vagas destinam-se a estudantes de cursos de </w:t>
      </w:r>
      <w:r>
        <w:rPr>
          <w:b/>
          <w:bCs/>
          <w:color w:val="000000"/>
          <w:szCs w:val="24"/>
        </w:rPr>
        <w:t xml:space="preserve">Graduação </w:t>
      </w:r>
      <w:r>
        <w:rPr>
          <w:color w:val="000000"/>
          <w:szCs w:val="24"/>
        </w:rPr>
        <w:t>da Regional Goiás/UFG.</w:t>
      </w:r>
    </w:p>
    <w:p>
      <w:pPr>
        <w:pStyle w:val="style0"/>
        <w:spacing w:after="0" w:before="0"/>
        <w:contextualSpacing w:val="false"/>
        <w:rPr/>
      </w:pPr>
      <w:r>
        <w:rPr/>
      </w:r>
    </w:p>
    <w:p>
      <w:pPr>
        <w:pStyle w:val="style0"/>
        <w:spacing w:after="0" w:before="0"/>
        <w:contextualSpacing w:val="false"/>
        <w:rPr>
          <w:b/>
          <w:color w:val="000000"/>
          <w:szCs w:val="24"/>
        </w:rPr>
      </w:pPr>
      <w:r>
        <w:rPr>
          <w:b/>
          <w:color w:val="000000"/>
          <w:szCs w:val="24"/>
        </w:rPr>
        <w:t>1. Das inscrições</w:t>
      </w:r>
    </w:p>
    <w:p>
      <w:pPr>
        <w:pStyle w:val="style0"/>
        <w:spacing w:after="0" w:before="0"/>
        <w:contextualSpacing w:val="false"/>
        <w:rPr>
          <w:color w:val="000000"/>
          <w:szCs w:val="24"/>
        </w:rPr>
      </w:pPr>
      <w:r>
        <w:rPr>
          <w:color w:val="000000"/>
          <w:szCs w:val="24"/>
        </w:rPr>
        <w:t>1.1 Para participar deste processo seletivo, o estudante deve estar regularmente matriculado em um curso da Graduação da Regional Goiás/UFG.</w:t>
      </w:r>
    </w:p>
    <w:p>
      <w:pPr>
        <w:pStyle w:val="style0"/>
        <w:spacing w:after="0" w:before="0"/>
        <w:contextualSpacing w:val="false"/>
        <w:rPr>
          <w:szCs w:val="24"/>
        </w:rPr>
      </w:pPr>
      <w:r>
        <w:rPr>
          <w:szCs w:val="24"/>
        </w:rPr>
        <w:t>1.2 O período mínimo de contrato de estágio não obrigatório na UFG, seguindo a orientação dada na Normativa 04/2014 da Secretaria de Gestão Pública do Ministério do Planejamento, Orçamento e Gestão(MPOG), é de 6 (seis) meses, portanto, os alunos com previsão de integralização do currículo no fim do primeiro semestre acadêmico de 2016</w:t>
      </w:r>
      <w:r>
        <w:rPr>
          <w:color w:val="FF0000"/>
          <w:szCs w:val="24"/>
        </w:rPr>
        <w:t xml:space="preserve"> </w:t>
      </w:r>
      <w:r>
        <w:rPr>
          <w:szCs w:val="24"/>
        </w:rPr>
        <w:t>serão desclassificados.</w:t>
      </w:r>
    </w:p>
    <w:p>
      <w:pPr>
        <w:pStyle w:val="style0"/>
        <w:spacing w:after="0" w:before="0"/>
        <w:contextualSpacing w:val="false"/>
        <w:rPr>
          <w:color w:val="000000"/>
          <w:szCs w:val="24"/>
          <w:shd w:fill="FFFFFF" w:val="clear"/>
        </w:rPr>
      </w:pPr>
      <w:r>
        <w:rPr>
          <w:color w:val="000000"/>
          <w:szCs w:val="24"/>
          <w:shd w:fill="FFFFFF" w:val="clear"/>
        </w:rPr>
        <w:t>1.3 O estudante da RGoiás/UFG deve verificar se o período em que está matriculado é permitido realizar estágio não obrigatório de acordo com a legislação específica do seu curso.</w:t>
      </w:r>
    </w:p>
    <w:p>
      <w:pPr>
        <w:pStyle w:val="style0"/>
        <w:spacing w:after="0" w:before="0"/>
        <w:contextualSpacing w:val="false"/>
        <w:rPr>
          <w:color w:val="000000"/>
          <w:szCs w:val="24"/>
        </w:rPr>
      </w:pPr>
      <w:r>
        <w:rPr>
          <w:color w:val="000000"/>
          <w:szCs w:val="24"/>
        </w:rPr>
        <w:t>1.4 Estudantes que já fizeram estágio não obrigatório na UFG só poderão se candidatar se não completaram 2 (dois) anos de estágio, que é o prazo máximo permitido para estágio na mesma instituição e, que ainda restem, no mínimo, 6 (seis) meses para completar esse período.</w:t>
      </w:r>
    </w:p>
    <w:p>
      <w:pPr>
        <w:pStyle w:val="style0"/>
        <w:spacing w:after="0" w:before="0"/>
        <w:contextualSpacing w:val="false"/>
        <w:rPr>
          <w:bCs/>
          <w:color w:val="000000"/>
          <w:szCs w:val="24"/>
        </w:rPr>
      </w:pPr>
      <w:r>
        <w:rPr>
          <w:color w:val="000000"/>
          <w:szCs w:val="24"/>
        </w:rPr>
        <w:t xml:space="preserve">1.5 As inscrições serão feitas, exclusivamente, na Coordenação Geral de Graduação/COGRAD, sala  CGA/COGRAD, </w:t>
      </w:r>
      <w:r>
        <w:rPr>
          <w:b/>
          <w:bCs/>
          <w:color w:val="000000"/>
          <w:szCs w:val="24"/>
        </w:rPr>
        <w:t xml:space="preserve">no período de 29 de Fevereiro a 07 de Março de 2016 das 8h às 12h e das 13h às 17h. </w:t>
      </w:r>
      <w:r>
        <w:rPr>
          <w:bCs/>
          <w:color w:val="000000"/>
          <w:szCs w:val="24"/>
        </w:rPr>
        <w:t xml:space="preserve">A ficha de inscrição deverá ser impressa no endereço eletrônico: </w:t>
      </w:r>
      <w:bookmarkStart w:id="0" w:name="__DdeLink__252_1337424176"/>
      <w:r>
        <w:rPr>
          <w:rStyle w:val="style77"/>
          <w:bCs/>
          <w:szCs w:val="24"/>
        </w:rPr>
        <w:t>https://www.goias.ufg.br/</w:t>
      </w:r>
      <w:bookmarkEnd w:id="0"/>
      <w:r>
        <w:rPr/>
        <w:t xml:space="preserve"> </w:t>
      </w:r>
      <w:r>
        <w:rPr>
          <w:bCs/>
          <w:color w:val="000000"/>
          <w:szCs w:val="24"/>
        </w:rPr>
        <w:t>e entregue preenchida juntamente com os documentos descritos na ficha de inscrição.</w:t>
      </w:r>
    </w:p>
    <w:p>
      <w:pPr>
        <w:pStyle w:val="style0"/>
        <w:spacing w:after="0" w:before="0"/>
        <w:contextualSpacing w:val="false"/>
        <w:rPr>
          <w:color w:val="000000"/>
          <w:szCs w:val="24"/>
        </w:rPr>
      </w:pPr>
      <w:r>
        <w:rPr>
          <w:color w:val="000000"/>
          <w:szCs w:val="24"/>
        </w:rPr>
        <w:t>1.6 Cada estudante poderá se inscrever para uma única vaga, na hipótese de alteração da inscrição já feita, dentro do prazo estabelecido, prevalecerá a última inscrição. O preenchimento da ficha de inscrição será de total responsabilidade do candidato.</w:t>
      </w:r>
    </w:p>
    <w:p>
      <w:pPr>
        <w:pStyle w:val="style0"/>
        <w:spacing w:after="0" w:before="0"/>
        <w:contextualSpacing w:val="false"/>
        <w:rPr>
          <w:b/>
          <w:bCs/>
          <w:color w:val="000000"/>
          <w:szCs w:val="24"/>
        </w:rPr>
      </w:pPr>
      <w:r>
        <w:rPr>
          <w:color w:val="000000"/>
          <w:szCs w:val="24"/>
        </w:rPr>
        <w:t xml:space="preserve">1.7 Após a divulgação da lista preliminar (inicial) dos inscritos que será publicada no dia  </w:t>
      </w:r>
      <w:r>
        <w:rPr>
          <w:b/>
          <w:bCs/>
          <w:color w:val="000000"/>
          <w:szCs w:val="24"/>
        </w:rPr>
        <w:t xml:space="preserve">8 de Março de 2016 no endereço eletrônico: </w:t>
      </w:r>
      <w:r>
        <w:rPr>
          <w:rStyle w:val="style77"/>
          <w:b/>
          <w:bCs/>
          <w:szCs w:val="24"/>
        </w:rPr>
        <w:t>https://www.goias.ufg.br/</w:t>
      </w:r>
      <w:r>
        <w:rPr>
          <w:b/>
          <w:bCs/>
          <w:color w:val="000000"/>
          <w:szCs w:val="24"/>
        </w:rPr>
        <w:t xml:space="preserve"> e no mural de entrada do CGA/COGRAD,</w:t>
      </w:r>
      <w:r>
        <w:rPr>
          <w:color w:val="000000"/>
          <w:szCs w:val="24"/>
        </w:rPr>
        <w:t xml:space="preserve"> o candidato poderá entrar com recurso nos dias </w:t>
      </w:r>
      <w:r>
        <w:rPr>
          <w:b/>
          <w:bCs/>
          <w:color w:val="000000"/>
          <w:szCs w:val="24"/>
        </w:rPr>
        <w:t xml:space="preserve">8 e 9 de Março de 2016, o qual deverá ser entregue </w:t>
      </w:r>
      <w:r>
        <w:rPr>
          <w:color w:val="000000"/>
          <w:szCs w:val="24"/>
        </w:rPr>
        <w:t xml:space="preserve">na Coordenação Geral de Graduação, sala CGA/COGRAD,  Regional Goiás, </w:t>
      </w:r>
      <w:r>
        <w:rPr>
          <w:bCs/>
          <w:color w:val="000000"/>
          <w:szCs w:val="24"/>
        </w:rPr>
        <w:t xml:space="preserve">das </w:t>
      </w:r>
      <w:r>
        <w:rPr>
          <w:b/>
          <w:bCs/>
          <w:color w:val="000000"/>
          <w:szCs w:val="24"/>
        </w:rPr>
        <w:t>08h às 12h e das 13hàs 17h.</w:t>
      </w:r>
    </w:p>
    <w:p>
      <w:pPr>
        <w:pStyle w:val="style0"/>
        <w:spacing w:after="0" w:before="0"/>
        <w:contextualSpacing w:val="false"/>
        <w:rPr>
          <w:b/>
          <w:color w:val="000000"/>
          <w:szCs w:val="24"/>
        </w:rPr>
      </w:pPr>
      <w:r>
        <w:rPr>
          <w:color w:val="000000"/>
          <w:szCs w:val="24"/>
        </w:rPr>
        <w:t xml:space="preserve">1.8 A lista final dos inscritos será publicada no dia </w:t>
      </w:r>
      <w:r>
        <w:rPr>
          <w:b/>
          <w:bCs/>
          <w:color w:val="000000"/>
          <w:szCs w:val="24"/>
        </w:rPr>
        <w:t>10</w:t>
      </w:r>
      <w:r>
        <w:rPr>
          <w:b/>
          <w:color w:val="000000"/>
          <w:szCs w:val="24"/>
        </w:rPr>
        <w:t xml:space="preserve"> de Março de 2016</w:t>
      </w:r>
      <w:r>
        <w:rPr>
          <w:b/>
          <w:bCs/>
          <w:color w:val="000000"/>
          <w:szCs w:val="24"/>
        </w:rPr>
        <w:t xml:space="preserve"> no endereço eletrônico: </w:t>
      </w:r>
      <w:r>
        <w:rPr>
          <w:rStyle w:val="style77"/>
          <w:b/>
          <w:bCs/>
          <w:szCs w:val="24"/>
        </w:rPr>
        <w:t>https://www.goias.ufg.br/</w:t>
      </w:r>
      <w:r>
        <w:rPr>
          <w:b/>
          <w:bCs/>
          <w:color w:val="000000"/>
          <w:szCs w:val="24"/>
        </w:rPr>
        <w:t>e no mural de entrada do CGA/COGRAD</w:t>
      </w:r>
      <w:r>
        <w:rPr>
          <w:b/>
          <w:color w:val="000000"/>
          <w:szCs w:val="24"/>
        </w:rPr>
        <w:t>.</w:t>
      </w:r>
    </w:p>
    <w:p>
      <w:pPr>
        <w:pStyle w:val="style0"/>
        <w:spacing w:after="0" w:before="0"/>
        <w:contextualSpacing w:val="false"/>
        <w:rPr>
          <w:color w:val="000000"/>
          <w:szCs w:val="24"/>
        </w:rPr>
      </w:pPr>
      <w:r>
        <w:rPr>
          <w:color w:val="000000"/>
          <w:szCs w:val="24"/>
        </w:rPr>
        <w:t>1.9 A inscrição implica no conhecimento do presente Edital e aceitação das normas e prazos nele contidas.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>2. Das vagas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b w:val="false"/>
          <w:bCs w:val="false"/>
          <w:sz w:val="24"/>
        </w:rPr>
      </w:pPr>
      <w:r>
        <w:rPr>
          <w:rFonts w:cs="Times New Roman"/>
          <w:b w:val="false"/>
          <w:bCs w:val="false"/>
          <w:sz w:val="24"/>
        </w:rPr>
        <w:t>2.1 As vagas destinadas a estágio não obrigatório da Regional Goiás estão distribuídas conforme o quadro abaixo:</w:t>
      </w:r>
    </w:p>
    <w:tbl>
      <w:tblPr>
        <w:jc w:val="left"/>
        <w:tblInd w:type="dxa" w:w="50"/>
        <w:tblBorders>
          <w:top w:color="000001" w:space="0" w:sz="2" w:val="single"/>
          <w:left w:color="000001" w:space="0" w:sz="2" w:val="single"/>
          <w:bottom w:color="000001" w:space="0" w:sz="2" w:val="single"/>
          <w:insideH w:color="000001" w:space="0" w:sz="2" w:val="single"/>
          <w:right w:val="nil"/>
          <w:insideV w:val="nil"/>
        </w:tblBorders>
        <w:tblCellMar>
          <w:top w:type="dxa" w:w="55"/>
          <w:left w:type="dxa" w:w="48"/>
          <w:bottom w:type="dxa" w:w="55"/>
          <w:right w:type="dxa" w:w="55"/>
        </w:tblCellMar>
      </w:tblPr>
      <w:tblGrid>
        <w:gridCol w:w="1868"/>
        <w:gridCol w:w="2374"/>
        <w:gridCol w:w="2759"/>
        <w:gridCol w:w="1078"/>
        <w:gridCol w:w="1280"/>
      </w:tblGrid>
      <w:tr>
        <w:trPr>
          <w:cantSplit w:val="false"/>
        </w:trPr>
        <w:tc>
          <w:tcPr>
            <w:tcW w:type="dxa" w:w="186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Local </w:t>
            </w:r>
          </w:p>
        </w:tc>
        <w:tc>
          <w:tcPr>
            <w:tcW w:type="dxa" w:w="2374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Requisito exigido </w:t>
            </w:r>
          </w:p>
        </w:tc>
        <w:tc>
          <w:tcPr>
            <w:tcW w:type="dxa" w:w="275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Atividades a ser desenvolvidas </w:t>
            </w:r>
          </w:p>
        </w:tc>
        <w:tc>
          <w:tcPr>
            <w:tcW w:type="dxa" w:w="107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Número de vagas</w:t>
            </w:r>
          </w:p>
        </w:tc>
        <w:tc>
          <w:tcPr>
            <w:tcW w:type="dxa" w:w="1280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Critérios de Avaliação</w:t>
            </w:r>
          </w:p>
        </w:tc>
      </w:tr>
      <w:tr>
        <w:trPr>
          <w:cantSplit w:val="false"/>
        </w:trPr>
        <w:tc>
          <w:tcPr>
            <w:tcW w:type="dxa" w:w="186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Coordenação de Graduação - COGRAD</w:t>
            </w:r>
          </w:p>
        </w:tc>
        <w:tc>
          <w:tcPr>
            <w:tcW w:type="dxa" w:w="237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jc w:val="left"/>
              <w:rPr/>
            </w:pPr>
            <w:r>
              <w:rPr/>
              <w:t xml:space="preserve">Estudante regularmente matriculado nos cursos de graduação da Regional Goiás </w:t>
            </w:r>
          </w:p>
          <w:p>
            <w:pPr>
              <w:pStyle w:val="style143"/>
              <w:spacing w:after="200" w:before="0"/>
              <w:contextualSpacing w:val="false"/>
              <w:jc w:val="left"/>
              <w:rPr/>
            </w:pPr>
            <w:r>
              <w:rPr/>
              <w:t>Requisitos básicos exigidos pelo Projeto Pedagógico de Cada Curso – Política de Estágio</w:t>
            </w:r>
          </w:p>
        </w:tc>
        <w:tc>
          <w:tcPr>
            <w:tcW w:type="dxa" w:w="2759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  <w:t>- Apoio nas atividades da Coordenação de Graduação da Regional Goiás.</w:t>
            </w:r>
          </w:p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- Suporte na organização de eventos da COGRAD</w:t>
            </w:r>
          </w:p>
        </w:tc>
        <w:tc>
          <w:tcPr>
            <w:tcW w:type="dxa" w:w="107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spacing w:after="200" w:before="0"/>
              <w:contextualSpacing w:val="false"/>
              <w:jc w:val="center"/>
              <w:rPr/>
            </w:pPr>
            <w:r>
              <w:rPr/>
              <w:t>01</w:t>
            </w:r>
          </w:p>
        </w:tc>
        <w:tc>
          <w:tcPr>
            <w:tcW w:type="dxa" w:w="1280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Média Global e prova de conhecimento.</w:t>
            </w:r>
          </w:p>
        </w:tc>
      </w:tr>
      <w:tr>
        <w:trPr>
          <w:cantSplit w:val="false"/>
        </w:trPr>
        <w:tc>
          <w:tcPr>
            <w:tcW w:type="dxa" w:w="186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 xml:space="preserve">Coordenação Geral de Pesquisa e Extensão da Regional Goiás </w:t>
            </w:r>
          </w:p>
        </w:tc>
        <w:tc>
          <w:tcPr>
            <w:tcW w:type="dxa" w:w="237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jc w:val="left"/>
              <w:rPr/>
            </w:pPr>
            <w:r>
              <w:rPr/>
              <w:t xml:space="preserve">Estudante regularmente matriculado nos cursos de graduação da Regional Goiás </w:t>
            </w:r>
          </w:p>
          <w:p>
            <w:pPr>
              <w:pStyle w:val="style143"/>
              <w:spacing w:after="200" w:before="0"/>
              <w:contextualSpacing w:val="false"/>
              <w:jc w:val="left"/>
              <w:rPr/>
            </w:pPr>
            <w:r>
              <w:rPr/>
              <w:t>Requisitos básicos exigidos pelo Projeto Pedagógico de Cada Curso – Política de Estágio</w:t>
            </w:r>
          </w:p>
        </w:tc>
        <w:tc>
          <w:tcPr>
            <w:tcW w:type="dxa" w:w="2759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  <w:t>- Apoio nas atividades da Coordenação Geral de Pesquisa e Coordenação Geral de Extensão da Regional Goiás.</w:t>
            </w:r>
          </w:p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- Suporte na organização de eventos da Coordenação Geral de Pesquisa e Coordenação Geral de Extensão da Regional Goiás.</w:t>
            </w:r>
          </w:p>
        </w:tc>
        <w:tc>
          <w:tcPr>
            <w:tcW w:type="dxa" w:w="107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spacing w:after="200" w:before="0"/>
              <w:contextualSpacing w:val="false"/>
              <w:jc w:val="center"/>
              <w:rPr/>
            </w:pPr>
            <w:r>
              <w:rPr/>
              <w:t>01</w:t>
            </w:r>
          </w:p>
        </w:tc>
        <w:tc>
          <w:tcPr>
            <w:tcW w:type="dxa" w:w="1280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Média Global e prova de conhecimento.</w:t>
            </w:r>
          </w:p>
        </w:tc>
      </w:tr>
      <w:tr>
        <w:trPr>
          <w:cantSplit w:val="false"/>
        </w:trPr>
        <w:tc>
          <w:tcPr>
            <w:tcW w:type="dxa" w:w="186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Unidade Acadêmica Especial de Ciências Humanas (UAECH) (Estágio )</w:t>
            </w:r>
          </w:p>
        </w:tc>
        <w:tc>
          <w:tcPr>
            <w:tcW w:type="dxa" w:w="237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jc w:val="left"/>
              <w:rPr/>
            </w:pPr>
            <w:r>
              <w:rPr/>
              <w:t xml:space="preserve">Estudante regularmente matriculado nos cursos de graduação da Regional Goiás </w:t>
            </w:r>
          </w:p>
          <w:p>
            <w:pPr>
              <w:pStyle w:val="style143"/>
              <w:spacing w:after="200" w:before="0"/>
              <w:contextualSpacing w:val="false"/>
              <w:jc w:val="left"/>
              <w:rPr/>
            </w:pPr>
            <w:r>
              <w:rPr/>
              <w:t>Requisitos básicos exigidos pelo Projeto Pedagógico de Cada Curso – Política de Estágio</w:t>
            </w:r>
          </w:p>
        </w:tc>
        <w:tc>
          <w:tcPr>
            <w:tcW w:type="dxa" w:w="2759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  <w:t>- Apoio nas atividades de Estágio da Unidade Acadêmica Especial de Ciência Humanas.</w:t>
            </w:r>
          </w:p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- Suporte na organização de eventos da UAECH.</w:t>
            </w:r>
          </w:p>
        </w:tc>
        <w:tc>
          <w:tcPr>
            <w:tcW w:type="dxa" w:w="107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spacing w:after="200" w:before="0"/>
              <w:contextualSpacing w:val="false"/>
              <w:jc w:val="center"/>
              <w:rPr/>
            </w:pPr>
            <w:r>
              <w:rPr/>
              <w:t>01</w:t>
            </w:r>
          </w:p>
        </w:tc>
        <w:tc>
          <w:tcPr>
            <w:tcW w:type="dxa" w:w="1280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Média Global e prova de conhecimento.</w:t>
            </w:r>
          </w:p>
        </w:tc>
      </w:tr>
      <w:tr>
        <w:trPr>
          <w:cantSplit w:val="false"/>
        </w:trPr>
        <w:tc>
          <w:tcPr>
            <w:tcW w:type="dxa" w:w="186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Unidade Acadêmica Especial de Ciências Sociais Aplicadas (UAECSA) (Estágio )</w:t>
            </w:r>
          </w:p>
        </w:tc>
        <w:tc>
          <w:tcPr>
            <w:tcW w:type="dxa" w:w="237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jc w:val="left"/>
              <w:rPr/>
            </w:pPr>
            <w:r>
              <w:rPr/>
              <w:t xml:space="preserve">Estudante regularmente matriculado nos cursos de graduação da Regional Goiás </w:t>
            </w:r>
          </w:p>
          <w:p>
            <w:pPr>
              <w:pStyle w:val="style143"/>
              <w:spacing w:after="200" w:before="0"/>
              <w:contextualSpacing w:val="false"/>
              <w:jc w:val="left"/>
              <w:rPr/>
            </w:pPr>
            <w:r>
              <w:rPr/>
              <w:t>Requisitos básicos exigidos pelo Projeto Pedagógico de Cada Curso – Política de Estágio</w:t>
            </w:r>
          </w:p>
        </w:tc>
        <w:tc>
          <w:tcPr>
            <w:tcW w:type="dxa" w:w="2759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  <w:t>- Apoio nas atividades de Estágio da Unidade Acadêmica Especial de Ciência Sociais Aplicadas.</w:t>
            </w:r>
          </w:p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- Suporte na organização de eventos da UAECSA.</w:t>
            </w:r>
          </w:p>
        </w:tc>
        <w:tc>
          <w:tcPr>
            <w:tcW w:type="dxa" w:w="1078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rPr/>
            </w:pPr>
            <w:r>
              <w:rPr/>
            </w:r>
          </w:p>
          <w:p>
            <w:pPr>
              <w:pStyle w:val="style143"/>
              <w:spacing w:after="200" w:before="0"/>
              <w:contextualSpacing w:val="false"/>
              <w:jc w:val="center"/>
              <w:rPr/>
            </w:pPr>
            <w:r>
              <w:rPr/>
              <w:t>01</w:t>
            </w:r>
          </w:p>
        </w:tc>
        <w:tc>
          <w:tcPr>
            <w:tcW w:type="dxa" w:w="1280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48"/>
            </w:tcMar>
          </w:tcPr>
          <w:p>
            <w:pPr>
              <w:pStyle w:val="style143"/>
              <w:spacing w:after="200" w:before="0"/>
              <w:contextualSpacing w:val="false"/>
              <w:rPr/>
            </w:pPr>
            <w:r>
              <w:rPr/>
              <w:t>Média Global e prova de conhecimento.</w:t>
            </w:r>
          </w:p>
        </w:tc>
      </w:tr>
    </w:tbl>
    <w:p>
      <w:pPr>
        <w:pStyle w:val="style0"/>
        <w:spacing w:after="0" w:before="0" w:line="360" w:lineRule="auto"/>
        <w:contextualSpacing w:val="false"/>
        <w:jc w:val="both"/>
        <w:rPr/>
      </w:pPr>
      <w:r>
        <w:rPr/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>3. Das vagas ofertadas para pessoas com deficiência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3.1 Nas áreas de atuação do estágio em que houver mais de uma vaga, com o mesmo perfil, serão reservadas 10% das vagas para atender os candidatos com deficiência consoante o §5º do artigo 17 da Lei 11.788/2008.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3.2 No caso de o percentual não resultar em um número inteiro, o quantitativo será aquele decorrente do arredondamento para o número inteiro imediatamente superior.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3.3 Antes de efetuar a inscrição, o candidato deverá certificar-se de que preenche todos os requisitos exigidos para a seleção, bem como se as atribuições relacionadas são compatíveis com a deficiência que possui.</w:t>
      </w:r>
    </w:p>
    <w:p>
      <w:pPr>
        <w:pStyle w:val="style0"/>
        <w:spacing w:after="0" w:before="0"/>
        <w:contextualSpacing w:val="false"/>
        <w:rPr>
          <w:b/>
          <w:bCs/>
          <w:color w:val="000000"/>
          <w:szCs w:val="24"/>
        </w:rPr>
      </w:pPr>
      <w:r>
        <w:rPr/>
        <w:t xml:space="preserve">3.4 Para concorrer a uma dessas vagas, o candidato deverá no ato de preenchimento da ficha de inscrição, informar o tipo de deficiência que possui e entregar o laudo médico atualizado, carimbado e assinado até o </w:t>
      </w:r>
      <w:r>
        <w:rPr>
          <w:b/>
          <w:bCs/>
        </w:rPr>
        <w:t xml:space="preserve">dia 04 de Março de 2016, </w:t>
      </w:r>
      <w:r>
        <w:rPr>
          <w:color w:val="000000"/>
          <w:szCs w:val="24"/>
        </w:rPr>
        <w:t xml:space="preserve">na Coordenação Geral de Graduação, sala CGA/COGRAD, </w:t>
      </w:r>
      <w:r>
        <w:rPr>
          <w:bCs/>
          <w:color w:val="000000"/>
          <w:szCs w:val="24"/>
        </w:rPr>
        <w:t xml:space="preserve">das </w:t>
      </w:r>
      <w:r>
        <w:rPr>
          <w:b/>
          <w:bCs/>
          <w:color w:val="000000"/>
          <w:szCs w:val="24"/>
        </w:rPr>
        <w:t>08h às 12h e das 13h às 17h.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3.5 O candidato que declarar possuir deficiência também deverá cumprir a exigência da média global igual ou superior a 6,0.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3.6 O candidato que declarar possuir deficiência poderá ser convocado a comparecer a Junta Médica da UFG, a qual emitirá parecer conclusivo acerca do atendimento das condições do candidato com deficiência. Podendo, de acordo com o parecer da Junta Médica, ser alterada a classificação do resultado, mesmo que este já tenha sido divulgado e o estagiário já esteja atuando.   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3.7 O candidato que não comparecer à perícia médica ou não se enquadrar como pessoa com deficiência, segundo o parecer da Junta Médica, concorrerá às demais vagas regulares.</w:t>
      </w:r>
    </w:p>
    <w:p>
      <w:pPr>
        <w:pStyle w:val="style0"/>
        <w:spacing w:after="0" w:before="0" w:line="360" w:lineRule="auto"/>
        <w:contextualSpacing w:val="false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3.8 Não havendo candidatos com deficiência, todos concorrerão com as vagas de ampla concorrência.</w:t>
      </w:r>
    </w:p>
    <w:p>
      <w:pPr>
        <w:pStyle w:val="style0"/>
        <w:spacing w:after="0" w:before="0"/>
        <w:contextualSpacing w:val="false"/>
        <w:rPr>
          <w:b/>
          <w:color w:val="000000"/>
          <w:szCs w:val="24"/>
        </w:rPr>
      </w:pPr>
      <w:r>
        <w:rPr>
          <w:b/>
          <w:color w:val="000000"/>
          <w:szCs w:val="24"/>
        </w:rPr>
      </w:r>
    </w:p>
    <w:p>
      <w:pPr>
        <w:pStyle w:val="style0"/>
        <w:spacing w:after="0" w:before="0"/>
        <w:contextualSpacing w:val="false"/>
        <w:rPr>
          <w:b/>
          <w:bCs/>
          <w:color w:val="000000"/>
          <w:szCs w:val="24"/>
        </w:rPr>
      </w:pPr>
      <w:r>
        <w:rPr>
          <w:b/>
          <w:color w:val="000000"/>
          <w:szCs w:val="24"/>
        </w:rPr>
        <w:t xml:space="preserve">4. </w:t>
      </w:r>
      <w:r>
        <w:rPr>
          <w:b/>
          <w:bCs/>
          <w:color w:val="000000"/>
          <w:szCs w:val="24"/>
        </w:rPr>
        <w:t>Da seleção</w:t>
      </w:r>
    </w:p>
    <w:p>
      <w:pPr>
        <w:pStyle w:val="style0"/>
        <w:spacing w:after="0" w:before="0"/>
        <w:contextualSpacing w:val="false"/>
        <w:rPr>
          <w:color w:val="000000"/>
          <w:szCs w:val="24"/>
        </w:rPr>
      </w:pPr>
      <w:r>
        <w:rPr>
          <w:color w:val="000000"/>
          <w:szCs w:val="24"/>
        </w:rPr>
        <w:t>4.1 Os candidatos inscritos serão classificados pela nota final resultante da média aritmética do valor da média global que consta no extrato ou histórico acadêmico que deverá ser atual, e com presença do código de autenticação do sistema que o emitiu e da nota obtida em uma avaliação específica.</w:t>
      </w:r>
    </w:p>
    <w:p>
      <w:pPr>
        <w:pStyle w:val="style0"/>
        <w:spacing w:after="0" w:before="0"/>
        <w:contextualSpacing w:val="false"/>
        <w:rPr>
          <w:color w:val="000000"/>
          <w:szCs w:val="24"/>
        </w:rPr>
      </w:pPr>
      <w:r>
        <w:rPr>
          <w:color w:val="000000"/>
          <w:szCs w:val="24"/>
        </w:rPr>
        <w:t>4.2 Somente poderão participar da avaliação específica os candidatos que estiverem com a documentação exigida no edital e com média global igual ou superior a 6,0 (seis).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>4.3 A seleção dos estagiários ficará a cargo de uma comissão composta por três docentes,  designados pela Câmara Regional de Graduação da Regional Goiás, com data e local pré-determinados.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>4.4 A seleção envolverá os seguintes procedimentos: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>a)  Média global do estudante, constante do histórico escolar;</w:t>
      </w:r>
    </w:p>
    <w:p>
      <w:pPr>
        <w:pStyle w:val="style93"/>
        <w:spacing w:after="0" w:before="0"/>
        <w:ind w:hanging="0" w:left="0" w:right="51"/>
        <w:contextualSpacing w:val="false"/>
        <w:rPr>
          <w:color w:val="000000"/>
          <w:szCs w:val="24"/>
        </w:rPr>
      </w:pPr>
      <w:r>
        <w:rPr>
          <w:szCs w:val="24"/>
        </w:rPr>
        <w:t xml:space="preserve">b) Avaliação específica </w:t>
      </w:r>
      <w:r>
        <w:rPr>
          <w:color w:val="000000"/>
          <w:szCs w:val="24"/>
        </w:rPr>
        <w:t xml:space="preserve">no dia </w:t>
      </w:r>
      <w:r>
        <w:rPr>
          <w:b/>
          <w:bCs/>
          <w:color w:val="000000"/>
          <w:szCs w:val="24"/>
        </w:rPr>
        <w:t>15 de Março de 2016</w:t>
      </w:r>
      <w:r>
        <w:rPr>
          <w:color w:val="000000"/>
          <w:szCs w:val="24"/>
        </w:rPr>
        <w:t>.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/>
        <w:t xml:space="preserve">4.5 </w:t>
      </w:r>
      <w:r>
        <w:rPr>
          <w:szCs w:val="24"/>
        </w:rPr>
        <w:t>Cada candidato receberá uma nota final, entre 0 e 10, resultado da média aritmética das avaliações indicadas no subitem 4.4. Serão considerados aprovados os candidatos que alcançarem média (nota final) igual ou superior a 6,0 nesta seleção.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>4.6 Em caso de empate, terá prioridade o estudante com maior percentual cursado. Persistindo o empate, considerar-se-á a maior média global do aluno, conforme histórico escolar (extrato acadêmico).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/>
        <w:t xml:space="preserve">4.7 </w:t>
      </w:r>
      <w:r>
        <w:rPr>
          <w:szCs w:val="24"/>
        </w:rPr>
        <w:t xml:space="preserve">Serão contemplados com bolsa os estudantes que obtiverem maior nota final, seguindo a ordem decrescente de classificação, até o limite de vagas oferecidas. </w:t>
      </w:r>
    </w:p>
    <w:p>
      <w:pPr>
        <w:pStyle w:val="style0"/>
        <w:rPr>
          <w:bCs/>
          <w:color w:val="000000"/>
          <w:szCs w:val="24"/>
        </w:rPr>
      </w:pPr>
      <w:r>
        <w:rPr>
          <w:color w:val="000000"/>
          <w:szCs w:val="24"/>
        </w:rPr>
        <w:t xml:space="preserve">4.8 Após a divulgação do resultado preliminar (inicial) dos candidatos aprovados, no dia </w:t>
      </w:r>
      <w:r>
        <w:rPr>
          <w:b/>
          <w:bCs/>
          <w:color w:val="000000"/>
          <w:szCs w:val="24"/>
        </w:rPr>
        <w:t xml:space="preserve">16 de Março de 2016, </w:t>
      </w:r>
      <w:r>
        <w:rPr>
          <w:color w:val="000000"/>
          <w:szCs w:val="24"/>
        </w:rPr>
        <w:t xml:space="preserve">o candidato poderá entrar com recurso nos dias </w:t>
      </w:r>
      <w:r>
        <w:rPr>
          <w:b/>
          <w:color w:val="000000"/>
          <w:szCs w:val="24"/>
        </w:rPr>
        <w:t>17 e 18 de Março de 2016</w:t>
      </w:r>
      <w:r>
        <w:rPr>
          <w:b/>
          <w:bCs/>
          <w:color w:val="000000"/>
          <w:szCs w:val="24"/>
        </w:rPr>
        <w:t xml:space="preserve">, 08h às 12he das 13hàs 17h </w:t>
      </w:r>
      <w:r>
        <w:rPr>
          <w:bCs/>
          <w:color w:val="000000"/>
          <w:szCs w:val="24"/>
        </w:rPr>
        <w:t>na Coordenação Geral de Graduação, sala CGA/COGRAD.</w:t>
      </w:r>
    </w:p>
    <w:p>
      <w:pPr>
        <w:pStyle w:val="style93"/>
        <w:spacing w:after="283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>4.9 Após o preenchimento do limite de vagas, os demais classificados comporão uma lista de espera e serão convocados, de acordo com as demandas da Unidade/Setor em que foi classificado, durante o período de vigência desta seleção.</w:t>
      </w:r>
    </w:p>
    <w:p>
      <w:pPr>
        <w:pStyle w:val="style93"/>
        <w:spacing w:after="0" w:before="0"/>
        <w:ind w:hanging="0" w:left="0" w:right="51"/>
        <w:contextualSpacing w:val="false"/>
        <w:rPr>
          <w:b/>
          <w:bCs/>
          <w:szCs w:val="24"/>
        </w:rPr>
      </w:pPr>
      <w:r>
        <w:rPr>
          <w:b/>
          <w:bCs/>
          <w:szCs w:val="24"/>
        </w:rPr>
        <w:t>5. Da Desclassificação</w:t>
      </w:r>
    </w:p>
    <w:p>
      <w:pPr>
        <w:pStyle w:val="style93"/>
        <w:spacing w:after="0" w:before="0"/>
        <w:contextualSpacing w:val="false"/>
        <w:jc w:val="left"/>
        <w:rPr>
          <w:szCs w:val="24"/>
        </w:rPr>
      </w:pPr>
      <w:r>
        <w:rPr>
          <w:szCs w:val="24"/>
        </w:rPr>
        <w:t>Será sumariamente desclassificado do processo seletivo o estudante que: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 xml:space="preserve">a)  Não apresentar a documentação completa para inscrição exigida no presente edital. 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>b) Apresentar média global inferior a 6,0 (cinco).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 xml:space="preserve">b) Não comparecer a avaliação específica agendada pelo gestor responsável, independentemente do fator motivador da ausência. </w:t>
      </w:r>
    </w:p>
    <w:p>
      <w:pPr>
        <w:pStyle w:val="style93"/>
        <w:spacing w:after="0" w:before="0"/>
        <w:ind w:hanging="0" w:left="0" w:right="51"/>
        <w:contextualSpacing w:val="false"/>
        <w:rPr>
          <w:szCs w:val="24"/>
        </w:rPr>
      </w:pPr>
      <w:r>
        <w:rPr>
          <w:szCs w:val="24"/>
        </w:rPr>
        <w:t>c) Não alcançar a nota final mínima exigida.</w:t>
      </w:r>
    </w:p>
    <w:p>
      <w:pPr>
        <w:pStyle w:val="style93"/>
        <w:spacing w:after="0" w:before="0"/>
        <w:ind w:hanging="0" w:left="0" w:right="51"/>
        <w:contextualSpacing w:val="false"/>
        <w:rPr/>
      </w:pPr>
      <w:r>
        <w:rPr/>
      </w:r>
    </w:p>
    <w:p>
      <w:pPr>
        <w:pStyle w:val="style0"/>
        <w:tabs>
          <w:tab w:leader="none" w:pos="360" w:val="left"/>
          <w:tab w:leader="none" w:pos="426" w:val="left"/>
        </w:tabs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5. Da convocação</w:t>
      </w:r>
    </w:p>
    <w:p>
      <w:pPr>
        <w:pStyle w:val="style0"/>
        <w:tabs>
          <w:tab w:leader="none" w:pos="360" w:val="left"/>
          <w:tab w:leader="none" w:pos="426" w:val="left"/>
        </w:tabs>
        <w:rPr>
          <w:b/>
          <w:bCs/>
          <w:color w:val="000000"/>
          <w:szCs w:val="24"/>
        </w:rPr>
      </w:pPr>
      <w:r>
        <w:rPr>
          <w:color w:val="000000"/>
          <w:szCs w:val="24"/>
        </w:rPr>
        <w:t xml:space="preserve">5.1 A primeira convocação será publicada dia </w:t>
      </w:r>
      <w:r>
        <w:rPr>
          <w:b/>
          <w:bCs/>
          <w:color w:val="000000"/>
          <w:szCs w:val="24"/>
        </w:rPr>
        <w:t xml:space="preserve">28 de Março de 2016 no endereço eletrônico: </w:t>
      </w:r>
      <w:r>
        <w:rPr>
          <w:rStyle w:val="style77"/>
          <w:b/>
          <w:bCs/>
          <w:szCs w:val="24"/>
        </w:rPr>
        <w:t>https://www.goias.ufg.br/</w:t>
      </w:r>
      <w:r>
        <w:rPr>
          <w:b/>
          <w:bCs/>
          <w:color w:val="000000"/>
          <w:szCs w:val="24"/>
        </w:rPr>
        <w:t xml:space="preserve"> e no mural de entrada da sala CGA/COGRAD.</w:t>
      </w:r>
    </w:p>
    <w:p>
      <w:pPr>
        <w:pStyle w:val="style0"/>
        <w:tabs>
          <w:tab w:leader="none" w:pos="360" w:val="left"/>
          <w:tab w:leader="none" w:pos="426" w:val="left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5.2 O candidato classificado e convocado deverá comparecer à Coordenação Geral de Graduação, sala CGA/COGRAD, no período de </w:t>
      </w:r>
      <w:r>
        <w:rPr>
          <w:b/>
          <w:bCs/>
          <w:color w:val="000000"/>
          <w:szCs w:val="24"/>
        </w:rPr>
        <w:t>29º a 30 de março de 2016</w:t>
      </w:r>
      <w:r>
        <w:rPr>
          <w:color w:val="000000"/>
          <w:szCs w:val="24"/>
        </w:rPr>
        <w:t>, das 08h às 11h e das 13h às 17h, portando:</w:t>
      </w:r>
    </w:p>
    <w:p>
      <w:pPr>
        <w:pStyle w:val="style0"/>
        <w:ind w:hanging="0" w:left="855" w:right="0"/>
        <w:rPr>
          <w:color w:val="000000"/>
          <w:szCs w:val="24"/>
        </w:rPr>
      </w:pPr>
      <w:r>
        <w:rPr>
          <w:color w:val="000000"/>
          <w:szCs w:val="24"/>
        </w:rPr>
        <w:t xml:space="preserve">a) Formulário de Cadastro de Estagiário </w:t>
      </w:r>
      <w:r>
        <w:rPr>
          <w:iCs/>
          <w:color w:val="000000"/>
          <w:szCs w:val="24"/>
        </w:rPr>
        <w:t>(1 via)</w:t>
      </w:r>
      <w:r>
        <w:rPr>
          <w:color w:val="000000"/>
          <w:szCs w:val="24"/>
        </w:rPr>
        <w:t>;</w:t>
      </w:r>
    </w:p>
    <w:p>
      <w:pPr>
        <w:pStyle w:val="style0"/>
        <w:ind w:hanging="0" w:left="855" w:right="0"/>
        <w:rPr>
          <w:color w:val="000000"/>
          <w:szCs w:val="24"/>
        </w:rPr>
      </w:pPr>
      <w:r>
        <w:rPr>
          <w:color w:val="000000"/>
          <w:szCs w:val="24"/>
        </w:rPr>
        <w:t xml:space="preserve">b) </w:t>
      </w:r>
      <w:r>
        <w:rPr>
          <w:iCs/>
          <w:color w:val="000000"/>
          <w:szCs w:val="24"/>
        </w:rPr>
        <w:t>Termo de Compromisso (3 vias)</w:t>
      </w:r>
      <w:r>
        <w:rPr>
          <w:color w:val="000000"/>
          <w:szCs w:val="24"/>
        </w:rPr>
        <w:t>;</w:t>
      </w:r>
    </w:p>
    <w:p>
      <w:pPr>
        <w:pStyle w:val="style0"/>
        <w:ind w:hanging="0" w:left="855" w:right="0"/>
        <w:rPr>
          <w:color w:val="000000"/>
          <w:szCs w:val="24"/>
        </w:rPr>
      </w:pPr>
      <w:r>
        <w:rPr>
          <w:color w:val="000000"/>
          <w:szCs w:val="24"/>
        </w:rPr>
        <w:t xml:space="preserve">c) Plano de Atividades de Estágio </w:t>
      </w:r>
      <w:r>
        <w:rPr>
          <w:iCs/>
          <w:color w:val="000000"/>
          <w:szCs w:val="24"/>
        </w:rPr>
        <w:t>(3 vias)</w:t>
      </w:r>
      <w:r>
        <w:rPr>
          <w:color w:val="000000"/>
          <w:szCs w:val="24"/>
        </w:rPr>
        <w:t>;</w:t>
      </w:r>
    </w:p>
    <w:p>
      <w:pPr>
        <w:pStyle w:val="style0"/>
        <w:ind w:hanging="0" w:left="855" w:right="0"/>
        <w:rPr>
          <w:b/>
          <w:bCs/>
          <w:color w:val="000000"/>
          <w:szCs w:val="24"/>
        </w:rPr>
      </w:pPr>
      <w:r>
        <w:rPr>
          <w:color w:val="000000"/>
          <w:szCs w:val="24"/>
        </w:rPr>
        <w:t xml:space="preserve">d) Comprovante de matrícula com presença do código de autenticação do sistema que o emitiu ou </w:t>
      </w:r>
      <w:r>
        <w:rPr>
          <w:b/>
          <w:bCs/>
          <w:color w:val="000000"/>
          <w:szCs w:val="24"/>
        </w:rPr>
        <w:t>carimbado (original) e assinado (original).</w:t>
      </w:r>
    </w:p>
    <w:p>
      <w:pPr>
        <w:pStyle w:val="style0"/>
        <w:rPr>
          <w:color w:val="000000"/>
          <w:szCs w:val="24"/>
        </w:rPr>
      </w:pPr>
      <w:r>
        <w:rPr>
          <w:color w:val="000000"/>
          <w:szCs w:val="24"/>
        </w:rPr>
        <w:t xml:space="preserve">5.3 A conferência dos documentos ficará a cargo da </w:t>
      </w:r>
      <w:r>
        <w:rPr>
          <w:b/>
          <w:bCs/>
          <w:color w:val="000000"/>
          <w:szCs w:val="24"/>
        </w:rPr>
        <w:t>Coordenação Geral de Graduação</w:t>
      </w:r>
      <w:r>
        <w:rPr>
          <w:color w:val="000000"/>
          <w:szCs w:val="24"/>
        </w:rPr>
        <w:t>.</w:t>
      </w:r>
    </w:p>
    <w:p>
      <w:pPr>
        <w:pStyle w:val="style0"/>
        <w:rPr>
          <w:color w:val="000000"/>
          <w:szCs w:val="24"/>
        </w:rPr>
      </w:pPr>
      <w:r>
        <w:rPr>
          <w:color w:val="000000"/>
          <w:szCs w:val="24"/>
        </w:rPr>
        <w:t>5.4 O candidato convocado que não se apresentar no local da vaga no período estipulado em cada chamada, ou não entregar os documentos necessários para contração dentro do prazo determinado, perderá o direito a vaga e irá para o final da lista de espera, sendo a vaga destinada para uma nova convocação.</w:t>
      </w:r>
    </w:p>
    <w:p>
      <w:pPr>
        <w:pStyle w:val="style0"/>
        <w:tabs>
          <w:tab w:leader="none" w:pos="360" w:val="left"/>
          <w:tab w:leader="none" w:pos="426" w:val="left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5.5 Será eliminado e perderá o direito a vaga, o candidato convocado que: não apresentar a documentação exigida; estudantes que estão no último semestre letivo do curso e com previsão de integralização do currículo </w:t>
      </w:r>
      <w:r>
        <w:rPr>
          <w:szCs w:val="24"/>
        </w:rPr>
        <w:t xml:space="preserve">no </w:t>
      </w:r>
      <w:r>
        <w:rPr>
          <w:szCs w:val="24"/>
          <w:shd w:fill="FFFFFF" w:val="clear"/>
        </w:rPr>
        <w:t>final do primeiro semestre letivo de 2016</w:t>
      </w:r>
      <w:r>
        <w:rPr>
          <w:szCs w:val="24"/>
        </w:rPr>
        <w:t>,</w:t>
      </w:r>
      <w:r>
        <w:rPr>
          <w:color w:val="000000"/>
          <w:szCs w:val="24"/>
        </w:rPr>
        <w:t xml:space="preserve"> informar dados incorretos no ato da inscrição ou que não atender aos requisitos dispostos neste Edital.</w:t>
      </w:r>
    </w:p>
    <w:p>
      <w:pPr>
        <w:pStyle w:val="style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6. Valor e duração da bolsa</w:t>
      </w:r>
    </w:p>
    <w:p>
      <w:pPr>
        <w:pStyle w:val="style0"/>
        <w:widowControl/>
        <w:suppressAutoHyphens w:val="false"/>
        <w:rPr>
          <w:color w:val="000000"/>
          <w:szCs w:val="24"/>
        </w:rPr>
      </w:pPr>
      <w:r>
        <w:rPr>
          <w:color w:val="000000"/>
          <w:szCs w:val="24"/>
        </w:rPr>
        <w:t>6.1 O valor das bolsas atende a Orientação Normativa nº 04 de Julho de 2014, sendo R$ 364,00 (trezentos e sessenta e quatro reais) por 20 horas, além do auxílio-transporte de R$ 6,00 (seis reais) por dia.</w:t>
      </w:r>
    </w:p>
    <w:p>
      <w:pPr>
        <w:pStyle w:val="style0"/>
        <w:widowControl/>
        <w:suppressAutoHyphens w:val="false"/>
        <w:rPr>
          <w:color w:val="000000"/>
          <w:szCs w:val="24"/>
        </w:rPr>
      </w:pPr>
      <w:r>
        <w:rPr>
          <w:color w:val="000000"/>
          <w:szCs w:val="24"/>
        </w:rPr>
        <w:t>6.2 O auxílio-transporte será descontado no período de férias.</w:t>
      </w:r>
    </w:p>
    <w:p>
      <w:pPr>
        <w:pStyle w:val="style0"/>
        <w:widowControl/>
        <w:suppressAutoHyphens w:val="false"/>
        <w:rPr>
          <w:color w:val="000000"/>
          <w:szCs w:val="24"/>
        </w:rPr>
      </w:pPr>
      <w:r>
        <w:rPr>
          <w:color w:val="000000"/>
          <w:szCs w:val="24"/>
        </w:rPr>
        <w:t>6.3 O contrato de estágio terá a duração de até 1 (um) ano, obedecido ao período mínimo de 6 (seis) meses, podendo ser renovado até completar o tempo máximo de 2 (dois) anos, conforme determina a Lei 11.788 de 25 de setembro de 2008.</w:t>
      </w:r>
    </w:p>
    <w:p>
      <w:pPr>
        <w:pStyle w:val="style0"/>
        <w:widowControl/>
        <w:suppressAutoHyphens w:val="false"/>
        <w:rPr>
          <w:color w:val="000000"/>
          <w:szCs w:val="24"/>
        </w:rPr>
      </w:pPr>
      <w:r>
        <w:rPr>
          <w:color w:val="000000"/>
          <w:szCs w:val="24"/>
        </w:rPr>
        <w:t>6.4 A bolsa de estágio será suspensa nos seguintes casos:</w:t>
      </w:r>
    </w:p>
    <w:p>
      <w:pPr>
        <w:pStyle w:val="style0"/>
        <w:ind w:hanging="0" w:left="855" w:right="0"/>
        <w:rPr>
          <w:color w:val="000000"/>
          <w:szCs w:val="24"/>
        </w:rPr>
      </w:pPr>
      <w:r>
        <w:rPr>
          <w:color w:val="000000"/>
          <w:szCs w:val="24"/>
        </w:rPr>
        <w:t>a) quando o estagiário não assinar a frequência do estágio;</w:t>
      </w:r>
    </w:p>
    <w:p>
      <w:pPr>
        <w:pStyle w:val="style0"/>
        <w:ind w:hanging="0" w:left="855" w:right="0"/>
        <w:rPr>
          <w:color w:val="000000"/>
          <w:szCs w:val="24"/>
        </w:rPr>
      </w:pPr>
      <w:r>
        <w:rPr>
          <w:color w:val="000000"/>
          <w:szCs w:val="24"/>
        </w:rPr>
        <w:t>b) quando o estagiário não apresentar relatórios, a cada 6 meses, ao supervisor de estágio do local concedente da vaga;</w:t>
      </w:r>
    </w:p>
    <w:p>
      <w:pPr>
        <w:pStyle w:val="style0"/>
        <w:ind w:hanging="0" w:left="855" w:right="0"/>
        <w:rPr>
          <w:color w:val="000000"/>
          <w:szCs w:val="24"/>
        </w:rPr>
      </w:pPr>
      <w:r>
        <w:rPr>
          <w:color w:val="000000"/>
          <w:szCs w:val="24"/>
        </w:rPr>
        <w:t>c) Quando o estagiário não cumprir o disposto no Termo de Compromisso de Estágio -  TCE.</w:t>
      </w:r>
    </w:p>
    <w:p>
      <w:pPr>
        <w:pStyle w:val="style0"/>
        <w:ind w:hanging="0" w:left="855" w:right="0"/>
        <w:rPr/>
      </w:pPr>
      <w:r>
        <w:rPr/>
      </w:r>
    </w:p>
    <w:p>
      <w:pPr>
        <w:pStyle w:val="style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7. Considerações Finais</w:t>
      </w:r>
    </w:p>
    <w:p>
      <w:pPr>
        <w:pStyle w:val="style142"/>
        <w:widowControl w:val="false"/>
        <w:tabs>
          <w:tab w:leader="none" w:pos="388" w:val="left"/>
          <w:tab w:leader="none" w:pos="8505" w:val="left"/>
        </w:tabs>
        <w:suppressAutoHyphens w:val="true"/>
        <w:spacing w:after="0" w:before="0" w:line="360" w:lineRule="auto"/>
        <w:contextualSpacing w:val="false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  <w:t xml:space="preserve">7.1 Serão incorporados a este edital, para todos os efeitos, quaisquer editais complementares e anexos que visem a correções e aperfeiçoamento do processo seletivo. </w:t>
      </w:r>
    </w:p>
    <w:p>
      <w:pPr>
        <w:pStyle w:val="style142"/>
        <w:widowControl w:val="false"/>
        <w:tabs>
          <w:tab w:leader="none" w:pos="388" w:val="left"/>
          <w:tab w:leader="none" w:pos="8505" w:val="left"/>
        </w:tabs>
        <w:suppressAutoHyphens w:val="true"/>
        <w:spacing w:after="0" w:before="0" w:line="360" w:lineRule="auto"/>
        <w:contextualSpacing w:val="false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  <w:t>7.2 O acompanhamento das publicações, dos avisos e comunicados referentes a este processo seletivo é de responsabilidade do candidato.</w:t>
      </w:r>
    </w:p>
    <w:p>
      <w:pPr>
        <w:pStyle w:val="style142"/>
        <w:widowControl w:val="false"/>
        <w:tabs>
          <w:tab w:leader="none" w:pos="388" w:val="left"/>
          <w:tab w:leader="none" w:pos="8505" w:val="left"/>
        </w:tabs>
        <w:suppressAutoHyphens w:val="true"/>
        <w:spacing w:after="0" w:before="0" w:line="360" w:lineRule="auto"/>
        <w:contextualSpacing w:val="false"/>
        <w:rPr>
          <w:rFonts w:ascii="Times New Roman" w:cs="Times New Roman" w:hAnsi="Times New Roman"/>
          <w:b/>
          <w:color w:val="000000"/>
        </w:rPr>
      </w:pPr>
      <w:r>
        <w:rPr>
          <w:rFonts w:ascii="Times New Roman" w:cs="Times New Roman" w:hAnsi="Times New Roman"/>
          <w:color w:val="000000"/>
        </w:rPr>
        <w:t xml:space="preserve">7.3 Este edital de seleção terá validade até </w:t>
      </w:r>
      <w:r>
        <w:rPr>
          <w:rFonts w:ascii="Times New Roman" w:cs="Times New Roman" w:hAnsi="Times New Roman"/>
          <w:b/>
          <w:bCs/>
          <w:color w:val="000000"/>
        </w:rPr>
        <w:t>31</w:t>
      </w:r>
      <w:r>
        <w:rPr>
          <w:rFonts w:ascii="Times New Roman" w:cs="Times New Roman" w:hAnsi="Times New Roman"/>
          <w:b/>
          <w:color w:val="000000"/>
        </w:rPr>
        <w:t xml:space="preserve"> de dezembro de 2016.</w:t>
      </w:r>
    </w:p>
    <w:p>
      <w:pPr>
        <w:pStyle w:val="style142"/>
        <w:widowControl w:val="false"/>
        <w:tabs>
          <w:tab w:leader="none" w:pos="388" w:val="left"/>
          <w:tab w:leader="none" w:pos="8505" w:val="left"/>
        </w:tabs>
        <w:suppressAutoHyphens w:val="true"/>
        <w:spacing w:after="0" w:before="0" w:line="360" w:lineRule="auto"/>
        <w:contextualSpacing w:val="fals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7.4 Casos omissos serão resolvidos pela Coordenação Geral de Graduação/RGoiás/UFG. </w:t>
      </w:r>
    </w:p>
    <w:p>
      <w:pPr>
        <w:pStyle w:val="style142"/>
        <w:widowControl w:val="false"/>
        <w:tabs>
          <w:tab w:leader="none" w:pos="388" w:val="left"/>
          <w:tab w:leader="none" w:pos="8505" w:val="left"/>
        </w:tabs>
        <w:suppressAutoHyphens w:val="true"/>
        <w:spacing w:after="0" w:before="0"/>
        <w:contextualSpacing w:val="false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p>
      <w:pPr>
        <w:pStyle w:val="style142"/>
        <w:widowControl w:val="false"/>
        <w:tabs>
          <w:tab w:leader="none" w:pos="388" w:val="left"/>
          <w:tab w:leader="none" w:pos="8505" w:val="left"/>
        </w:tabs>
        <w:suppressAutoHyphens w:val="true"/>
        <w:spacing w:after="0" w:before="0"/>
        <w:contextualSpacing w:val="false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8. Cronograma de atividades Edital 01/2016</w:t>
      </w:r>
    </w:p>
    <w:p>
      <w:pPr>
        <w:pStyle w:val="style142"/>
        <w:widowControl w:val="false"/>
        <w:tabs>
          <w:tab w:leader="none" w:pos="388" w:val="left"/>
          <w:tab w:leader="none" w:pos="8505" w:val="left"/>
        </w:tabs>
        <w:suppressAutoHyphens w:val="true"/>
        <w:spacing w:after="0" w:before="0"/>
        <w:contextualSpacing w:val="false"/>
        <w:rPr/>
      </w:pPr>
      <w:bookmarkStart w:id="1" w:name="_GoBack"/>
      <w:bookmarkStart w:id="2" w:name="_GoBack"/>
      <w:bookmarkEnd w:id="2"/>
      <w:r>
        <w:rPr/>
      </w:r>
    </w:p>
    <w:tbl>
      <w:tblPr>
        <w:jc w:val="left"/>
        <w:tblInd w:type="dxa" w:w="76"/>
        <w:tblBorders>
          <w:top w:color="000001" w:space="0" w:sz="2" w:val="single"/>
          <w:left w:color="000001" w:space="0" w:sz="2" w:val="single"/>
          <w:bottom w:color="000001" w:space="0" w:sz="2" w:val="single"/>
          <w:insideH w:color="000001" w:space="0" w:sz="2" w:val="single"/>
          <w:right w:val="nil"/>
          <w:insideV w:val="nil"/>
        </w:tblBorders>
        <w:tblCellMar>
          <w:top w:type="dxa" w:w="55"/>
          <w:left w:type="dxa" w:w="39"/>
          <w:bottom w:type="dxa" w:w="55"/>
          <w:right w:type="dxa" w:w="55"/>
        </w:tblCellMar>
      </w:tblPr>
      <w:tblGrid>
        <w:gridCol w:w="3979"/>
        <w:gridCol w:w="5328"/>
      </w:tblGrid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25/02/2016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>Publicação do edital.</w:t>
            </w:r>
          </w:p>
        </w:tc>
      </w:tr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0"/>
              <w:spacing w:after="0" w:before="0"/>
              <w:contextualSpacing w:val="false"/>
              <w:jc w:val="center"/>
              <w:rPr>
                <w:b w:val="false"/>
                <w:bCs w:val="false"/>
                <w:color w:val="000000"/>
                <w:szCs w:val="24"/>
              </w:rPr>
            </w:pPr>
            <w:r>
              <w:rPr>
                <w:b w:val="false"/>
                <w:bCs w:val="false"/>
                <w:color w:val="000000"/>
                <w:szCs w:val="24"/>
              </w:rPr>
              <w:t xml:space="preserve">29 de Fevereiro a 07 de Março de 2016 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>
                <w:rFonts w:ascii="Times New Roman;serif" w:hAnsi="Times New Roman;serif"/>
                <w:color w:val="000000"/>
              </w:rPr>
            </w:pPr>
            <w:r>
              <w:rPr>
                <w:color w:val="000000"/>
              </w:rPr>
              <w:t xml:space="preserve">Período de inscrições na Coordenação Geral de Graduação/ Regional Goiás/UFG, sala CGA/COGRAD, </w:t>
            </w:r>
            <w:r>
              <w:rPr>
                <w:rFonts w:ascii="Times New Roman;serif" w:hAnsi="Times New Roman;serif"/>
                <w:color w:val="000000"/>
              </w:rPr>
              <w:t>das 8h às 12h e das 13h às 17h.</w:t>
            </w:r>
          </w:p>
        </w:tc>
      </w:tr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08/03/2016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uppressLineNumbers/>
              <w:spacing w:after="200" w:before="0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>Publicação da lista preliminar (inicial) dos inscritos.</w:t>
            </w:r>
          </w:p>
        </w:tc>
      </w:tr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08 e 09/02/2016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uppressLineNumbers/>
              <w:spacing w:after="200" w:before="0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>Prazo para recurso das inscrições.</w:t>
            </w:r>
          </w:p>
        </w:tc>
      </w:tr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10/03/2016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>Análise dos recursos</w:t>
            </w:r>
          </w:p>
        </w:tc>
      </w:tr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10/03/2016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 xml:space="preserve">Publicação da lista final dos inscritos. </w:t>
            </w:r>
          </w:p>
        </w:tc>
      </w:tr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15/03/2016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Realização da Avaliação Específica dos candidatos, conforme agendamento.</w:t>
            </w:r>
          </w:p>
        </w:tc>
      </w:tr>
      <w:tr>
        <w:trPr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16/03/2016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93"/>
              <w:spacing w:after="120" w:before="0" w:line="100" w:lineRule="atLeast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>Publicação do resultado preliminar (inicial).</w:t>
            </w:r>
          </w:p>
        </w:tc>
      </w:tr>
      <w:tr>
        <w:trPr>
          <w:trHeight w:hRule="atLeast" w:val="75"/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17 e 18/03/2016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uppressLineNumbers/>
              <w:spacing w:after="200" w:before="0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>Prazo para recurso ao resultado preliminar.</w:t>
            </w:r>
          </w:p>
        </w:tc>
      </w:tr>
      <w:tr>
        <w:trPr>
          <w:trHeight w:hRule="atLeast" w:val="75"/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28/03/2016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93"/>
              <w:spacing w:after="120" w:before="0" w:line="100" w:lineRule="atLeast"/>
              <w:contextualSpacing w:val="false"/>
              <w:rPr>
                <w:color w:val="000000"/>
              </w:rPr>
            </w:pPr>
            <w:r>
              <w:rPr>
                <w:color w:val="000000"/>
              </w:rPr>
              <w:t>Publicação do resultado final/Primeira Chamada.</w:t>
            </w:r>
          </w:p>
        </w:tc>
      </w:tr>
      <w:tr>
        <w:trPr>
          <w:trHeight w:hRule="atLeast" w:val="75"/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29 e 30/03/2016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/>
            </w:pPr>
            <w:r>
              <w:rPr/>
              <w:t>Prazo para entrega dos documentos de contratação, devidamente assinados, na Coordenação Geral de Estágio – RC / UFG.</w:t>
            </w:r>
          </w:p>
        </w:tc>
      </w:tr>
      <w:tr>
        <w:trPr>
          <w:trHeight w:hRule="atLeast" w:val="75"/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01/04/2016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/>
            </w:pPr>
            <w:r>
              <w:rPr/>
              <w:t>Segunda chamada.</w:t>
            </w:r>
          </w:p>
        </w:tc>
      </w:tr>
      <w:tr>
        <w:trPr>
          <w:trHeight w:hRule="atLeast" w:val="75"/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04</w:t>
            </w:r>
            <w:r>
              <w:rPr>
                <w:rFonts w:ascii="Times New Roman;serif" w:hAnsi="Times New Roman;serif"/>
                <w:color w:val="000000"/>
              </w:rPr>
              <w:t>/0</w:t>
            </w:r>
            <w:r>
              <w:rPr>
                <w:rFonts w:ascii="Times New Roman;serif" w:hAnsi="Times New Roman;serif"/>
                <w:color w:val="000000"/>
              </w:rPr>
              <w:t>4</w:t>
            </w:r>
            <w:r>
              <w:rPr>
                <w:rFonts w:ascii="Times New Roman;serif" w:hAnsi="Times New Roman;serif"/>
                <w:color w:val="000000"/>
              </w:rPr>
              <w:t>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 w:line="100" w:lineRule="atLeast"/>
              <w:contextualSpacing w:val="false"/>
              <w:rPr/>
            </w:pPr>
            <w:r>
              <w:rPr/>
              <w:t>Data de início das atividades de estágio nos locais das vagas da Primeira Chamada.</w:t>
            </w:r>
          </w:p>
        </w:tc>
      </w:tr>
      <w:tr>
        <w:trPr>
          <w:trHeight w:hRule="atLeast" w:val="75"/>
          <w:cantSplit w:val="true"/>
        </w:trPr>
        <w:tc>
          <w:tcPr>
            <w:tcW w:type="dxa" w:w="3979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pacing w:after="200" w:before="0"/>
              <w:contextualSpacing w:val="false"/>
              <w:jc w:val="center"/>
              <w:rPr>
                <w:rFonts w:ascii="Times New Roman;serif" w:hAnsi="Times New Roman;serif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31/12/2016</w:t>
            </w:r>
          </w:p>
        </w:tc>
        <w:tc>
          <w:tcPr>
            <w:tcW w:type="dxa" w:w="5328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39"/>
            </w:tcMar>
          </w:tcPr>
          <w:p>
            <w:pPr>
              <w:pStyle w:val="style143"/>
              <w:suppressLineNumbers/>
              <w:spacing w:after="200" w:before="0"/>
              <w:contextualSpacing w:val="false"/>
              <w:rPr/>
            </w:pPr>
            <w:r>
              <w:rPr/>
              <w:t>Validade do Edital</w:t>
            </w:r>
          </w:p>
        </w:tc>
      </w:tr>
    </w:tbl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right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right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right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  <w:t>Goiás, 25 de Fevereiro de 2016.</w:t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center"/>
        <w:rPr/>
      </w:pPr>
      <w:r>
        <w:rPr/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center"/>
        <w:rPr/>
      </w:pPr>
      <w:r>
        <w:rPr/>
        <w:t>___________________________________</w:t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center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  <w:t>Profa. Maria Meire Carvalho</w:t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center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  <w:t>Diretora Regional Goiás / UFG</w:t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center"/>
        <w:rPr/>
      </w:pPr>
      <w:r>
        <w:rPr/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center"/>
        <w:rPr/>
      </w:pPr>
      <w:r>
        <w:rPr/>
      </w:r>
    </w:p>
    <w:p>
      <w:pPr>
        <w:pStyle w:val="style142"/>
        <w:widowControl w:val="false"/>
        <w:tabs>
          <w:tab w:leader="none" w:pos="8505" w:val="left"/>
        </w:tabs>
        <w:suppressAutoHyphens w:val="true"/>
        <w:spacing w:after="0" w:before="0"/>
        <w:contextualSpacing w:val="false"/>
        <w:jc w:val="center"/>
        <w:rPr/>
      </w:pPr>
      <w:r>
        <w:rPr/>
        <w:t>_____________________________________</w:t>
      </w:r>
    </w:p>
    <w:p>
      <w:pPr>
        <w:pStyle w:val="style0"/>
        <w:tabs>
          <w:tab w:leader="none" w:pos="8505" w:val="left"/>
        </w:tabs>
        <w:spacing w:after="0" w:before="0" w:line="100" w:lineRule="atLeast"/>
        <w:contextualSpacing w:val="false"/>
        <w:jc w:val="center"/>
        <w:rPr>
          <w:color w:val="000000"/>
          <w:szCs w:val="24"/>
        </w:rPr>
      </w:pPr>
      <w:r>
        <w:rPr>
          <w:color w:val="000000"/>
          <w:szCs w:val="24"/>
        </w:rPr>
        <w:t>Prof.</w:t>
      </w:r>
      <w:bookmarkStart w:id="3" w:name="j_idt200:outputText"/>
      <w:bookmarkEnd w:id="3"/>
      <w:r>
        <w:rPr>
          <w:color w:val="000000"/>
          <w:szCs w:val="24"/>
        </w:rPr>
        <w:t xml:space="preserve"> Alison Cleiton de Araújo</w:t>
      </w:r>
    </w:p>
    <w:p>
      <w:pPr>
        <w:pStyle w:val="style0"/>
        <w:tabs>
          <w:tab w:leader="none" w:pos="8505" w:val="left"/>
        </w:tabs>
        <w:spacing w:after="0" w:before="0" w:line="100" w:lineRule="atLeast"/>
        <w:contextualSpacing w:val="false"/>
        <w:jc w:val="center"/>
        <w:rPr>
          <w:color w:val="000000"/>
        </w:rPr>
      </w:pPr>
      <w:r>
        <w:rPr>
          <w:color w:val="000000"/>
        </w:rPr>
        <w:t>Coordenador de Graduação da Regional Goiás</w:t>
      </w:r>
    </w:p>
    <w:p>
      <w:pPr>
        <w:pStyle w:val="style0"/>
        <w:widowControl w:val="false"/>
        <w:suppressAutoHyphens w:val="true"/>
        <w:spacing w:after="200" w:before="0" w:line="360" w:lineRule="auto"/>
        <w:contextualSpacing w:val="false"/>
        <w:jc w:val="both"/>
        <w:rPr/>
      </w:pPr>
      <w:r>
        <w:rPr/>
      </w:r>
    </w:p>
    <w:p>
      <w:pPr>
        <w:pStyle w:val="style0"/>
        <w:widowControl w:val="false"/>
        <w:suppressAutoHyphens w:val="true"/>
        <w:spacing w:after="200" w:before="0" w:line="360" w:lineRule="auto"/>
        <w:contextualSpacing w:val="false"/>
        <w:jc w:val="both"/>
        <w:rPr/>
      </w:pPr>
      <w:r>
        <w:rPr/>
      </w:r>
    </w:p>
    <w:p>
      <w:pPr>
        <w:pStyle w:val="style0"/>
        <w:widowControl w:val="false"/>
        <w:suppressAutoHyphens w:val="true"/>
        <w:spacing w:after="200" w:before="0" w:line="360" w:lineRule="auto"/>
        <w:contextualSpacing w:val="false"/>
        <w:jc w:val="both"/>
        <w:rPr/>
      </w:pPr>
      <w:r>
        <w:rPr/>
      </w:r>
    </w:p>
    <w:p>
      <w:pPr>
        <w:pStyle w:val="style0"/>
        <w:widowControl w:val="false"/>
        <w:suppressAutoHyphens w:val="true"/>
        <w:spacing w:after="200" w:before="0" w:line="360" w:lineRule="auto"/>
        <w:contextualSpacing w:val="false"/>
        <w:jc w:val="both"/>
        <w:rPr/>
      </w:pPr>
      <w:r>
        <w:rPr/>
      </w:r>
    </w:p>
    <w:p>
      <w:pPr>
        <w:pStyle w:val="style0"/>
        <w:widowControl w:val="false"/>
        <w:suppressAutoHyphens w:val="true"/>
        <w:spacing w:after="200" w:before="0" w:line="360" w:lineRule="auto"/>
        <w:contextualSpacing w:val="false"/>
        <w:jc w:val="both"/>
        <w:rPr/>
      </w:pPr>
      <w:r>
        <w:rPr/>
      </w:r>
    </w:p>
    <w:sectPr>
      <w:footerReference r:id="rId2" w:type="default"/>
      <w:type w:val="nextPage"/>
      <w:pgSz w:h="16838" w:w="11906"/>
      <w:pgMar w:bottom="1548" w:footer="1134" w:gutter="0" w:header="0" w:left="1417" w:right="1134" w:top="141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00"/>
    <w:family w:val="roman"/>
    <w:pitch w:val="variable"/>
  </w:font>
  <w:font w:name="Garamond">
    <w:charset w:val="00"/>
    <w:family w:val="roman"/>
    <w:pitch w:val="variable"/>
  </w:font>
  <w:font w:name="Tahoma">
    <w:charset w:val="00"/>
    <w:family w:val="roman"/>
    <w:pitch w:val="variable"/>
  </w:font>
  <w:font w:name="Times New Roman">
    <w:altName w:val="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139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8</w:t>
    </w:r>
    <w:r>
      <w:fldChar w:fldCharType="end"/>
    </w:r>
  </w:p>
  <w:p>
    <w:pPr>
      <w:pStyle w:val="style0"/>
      <w:widowControl w:val="false"/>
      <w:suppressAutoHyphens w:val="true"/>
      <w:spacing w:after="200" w:before="0" w:line="360" w:lineRule="auto"/>
      <w:contextualSpacing w:val="false"/>
      <w:jc w:val="both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200" w:before="0" w:line="360" w:lineRule="auto"/>
      <w:contextualSpacing w:val="false"/>
      <w:jc w:val="both"/>
    </w:pPr>
    <w:rPr>
      <w:rFonts w:ascii="Times New Roman" w:cs="Arial;Arial" w:eastAsia="Times New Roman" w:hAnsi="Times New Roman"/>
      <w:color w:val="000000"/>
      <w:sz w:val="24"/>
      <w:szCs w:val="20"/>
      <w:lang w:bidi="ar-SA" w:eastAsia="pt-BR" w:val="pt-BR"/>
    </w:rPr>
  </w:style>
  <w:style w:styleId="style1" w:type="paragraph">
    <w:name w:val="Título 1"/>
    <w:basedOn w:val="style0"/>
    <w:next w:val="style1"/>
    <w:pPr>
      <w:tabs>
        <w:tab w:leader="none" w:pos="0" w:val="left"/>
        <w:tab w:leader="none" w:pos="792" w:val="left"/>
      </w:tabs>
      <w:spacing w:after="60" w:before="240"/>
      <w:ind w:hanging="432" w:left="792" w:right="0"/>
      <w:contextualSpacing w:val="false"/>
    </w:pPr>
    <w:rPr>
      <w:b/>
      <w:caps/>
      <w:sz w:val="28"/>
    </w:rPr>
  </w:style>
  <w:style w:styleId="style2" w:type="paragraph">
    <w:name w:val="Título 2"/>
    <w:basedOn w:val="style0"/>
    <w:next w:val="style2"/>
    <w:pPr>
      <w:tabs>
        <w:tab w:leader="none" w:pos="0" w:val="left"/>
        <w:tab w:leader="none" w:pos="936" w:val="left"/>
      </w:tabs>
      <w:spacing w:after="60" w:before="240"/>
      <w:ind w:hanging="576" w:left="936" w:right="0"/>
      <w:contextualSpacing w:val="false"/>
    </w:pPr>
    <w:rPr>
      <w:b/>
      <w:caps/>
      <w:sz w:val="28"/>
    </w:rPr>
  </w:style>
  <w:style w:styleId="style3" w:type="paragraph">
    <w:name w:val="Título 3"/>
    <w:basedOn w:val="style0"/>
    <w:next w:val="style3"/>
    <w:pPr>
      <w:tabs>
        <w:tab w:leader="none" w:pos="0" w:val="left"/>
        <w:tab w:leader="none" w:pos="1080" w:val="left"/>
      </w:tabs>
      <w:spacing w:after="60" w:before="240"/>
      <w:ind w:hanging="720" w:left="1080" w:right="0"/>
      <w:contextualSpacing w:val="false"/>
    </w:pPr>
    <w:rPr>
      <w:b/>
      <w:i/>
    </w:rPr>
  </w:style>
  <w:style w:styleId="style4" w:type="paragraph">
    <w:name w:val="Título 4"/>
    <w:basedOn w:val="style0"/>
    <w:next w:val="style4"/>
    <w:pPr>
      <w:keepNext/>
      <w:tabs>
        <w:tab w:leader="none" w:pos="0" w:val="left"/>
        <w:tab w:leader="none" w:pos="1224" w:val="left"/>
      </w:tabs>
      <w:spacing w:after="60" w:before="240"/>
      <w:ind w:hanging="864" w:left="1224" w:right="0"/>
      <w:contextualSpacing w:val="false"/>
    </w:pPr>
    <w:rPr>
      <w:b/>
      <w:i/>
    </w:rPr>
  </w:style>
  <w:style w:styleId="style5" w:type="paragraph">
    <w:name w:val="Título 5"/>
    <w:basedOn w:val="style0"/>
    <w:next w:val="style5"/>
    <w:pPr>
      <w:tabs>
        <w:tab w:leader="none" w:pos="0" w:val="left"/>
        <w:tab w:leader="none" w:pos="1368" w:val="left"/>
      </w:tabs>
      <w:spacing w:after="60" w:before="240"/>
      <w:ind w:hanging="1008" w:left="1368" w:right="0"/>
      <w:contextualSpacing w:val="false"/>
    </w:pPr>
    <w:rPr>
      <w:sz w:val="22"/>
    </w:rPr>
  </w:style>
  <w:style w:styleId="style6" w:type="paragraph">
    <w:name w:val="Título 6"/>
    <w:basedOn w:val="style0"/>
    <w:next w:val="style6"/>
    <w:pPr>
      <w:tabs>
        <w:tab w:leader="none" w:pos="0" w:val="left"/>
        <w:tab w:leader="none" w:pos="1512" w:val="left"/>
      </w:tabs>
      <w:spacing w:after="60" w:before="240"/>
      <w:ind w:hanging="1152" w:left="1512" w:right="0"/>
      <w:contextualSpacing w:val="false"/>
    </w:pPr>
    <w:rPr>
      <w:i/>
      <w:sz w:val="22"/>
    </w:rPr>
  </w:style>
  <w:style w:styleId="style7" w:type="paragraph">
    <w:name w:val="Título 7"/>
    <w:basedOn w:val="style0"/>
    <w:next w:val="style7"/>
    <w:pPr>
      <w:tabs>
        <w:tab w:leader="none" w:pos="0" w:val="left"/>
        <w:tab w:leader="none" w:pos="1656" w:val="left"/>
      </w:tabs>
      <w:spacing w:after="60" w:before="240"/>
      <w:ind w:hanging="1296" w:left="1656" w:right="0"/>
      <w:contextualSpacing w:val="false"/>
    </w:pPr>
    <w:rPr/>
  </w:style>
  <w:style w:styleId="style8" w:type="paragraph">
    <w:name w:val="Título 8"/>
    <w:basedOn w:val="style0"/>
    <w:next w:val="style8"/>
    <w:pPr>
      <w:tabs>
        <w:tab w:leader="none" w:pos="0" w:val="left"/>
        <w:tab w:leader="none" w:pos="1800" w:val="left"/>
      </w:tabs>
      <w:spacing w:after="60" w:before="240"/>
      <w:ind w:hanging="1440" w:left="1800" w:right="0"/>
      <w:contextualSpacing w:val="false"/>
    </w:pPr>
    <w:rPr>
      <w:i/>
    </w:rPr>
  </w:style>
  <w:style w:styleId="style9" w:type="paragraph">
    <w:name w:val="Título 9"/>
    <w:basedOn w:val="style0"/>
    <w:next w:val="style9"/>
    <w:pPr>
      <w:tabs>
        <w:tab w:leader="none" w:pos="0" w:val="left"/>
        <w:tab w:leader="none" w:pos="1944" w:val="left"/>
      </w:tabs>
      <w:spacing w:after="60" w:before="240"/>
      <w:ind w:hanging="1584" w:left="1944" w:right="0"/>
      <w:contextualSpacing w:val="false"/>
    </w:pPr>
    <w:rPr>
      <w:b/>
      <w:i/>
      <w:sz w:val="18"/>
    </w:rPr>
  </w:style>
  <w:style w:styleId="style15" w:type="character">
    <w:name w:val="Default Paragraph Font"/>
    <w:next w:val="style15"/>
    <w:rPr/>
  </w:style>
  <w:style w:styleId="style16" w:type="character">
    <w:name w:val="Heading 1 Char"/>
    <w:basedOn w:val="style15"/>
    <w:next w:val="style16"/>
    <w:rPr>
      <w:rFonts w:ascii="Cambria" w:cs="Times New Roman" w:hAnsi="Cambria"/>
      <w:b/>
      <w:bCs/>
      <w:color w:val="000000"/>
      <w:sz w:val="32"/>
      <w:szCs w:val="32"/>
    </w:rPr>
  </w:style>
  <w:style w:styleId="style17" w:type="character">
    <w:name w:val="Heading 2 Char"/>
    <w:basedOn w:val="style15"/>
    <w:next w:val="style17"/>
    <w:rPr>
      <w:rFonts w:ascii="Cambria" w:cs="Times New Roman" w:hAnsi="Cambria"/>
      <w:b/>
      <w:bCs/>
      <w:i/>
      <w:iCs/>
      <w:color w:val="000000"/>
      <w:sz w:val="28"/>
      <w:szCs w:val="28"/>
    </w:rPr>
  </w:style>
  <w:style w:styleId="style18" w:type="character">
    <w:name w:val="Heading 3 Char"/>
    <w:basedOn w:val="style15"/>
    <w:next w:val="style18"/>
    <w:rPr>
      <w:rFonts w:ascii="Cambria" w:cs="Times New Roman" w:hAnsi="Cambria"/>
      <w:b/>
      <w:bCs/>
      <w:color w:val="000000"/>
      <w:sz w:val="26"/>
      <w:szCs w:val="26"/>
    </w:rPr>
  </w:style>
  <w:style w:styleId="style19" w:type="character">
    <w:name w:val="Heading 4 Char"/>
    <w:basedOn w:val="style15"/>
    <w:next w:val="style19"/>
    <w:rPr>
      <w:rFonts w:ascii="Calibri" w:cs="Times New Roman" w:hAnsi="Calibri"/>
      <w:b/>
      <w:bCs/>
      <w:color w:val="000000"/>
      <w:sz w:val="28"/>
      <w:szCs w:val="28"/>
    </w:rPr>
  </w:style>
  <w:style w:styleId="style20" w:type="character">
    <w:name w:val="Heading 5 Char"/>
    <w:basedOn w:val="style15"/>
    <w:next w:val="style20"/>
    <w:rPr>
      <w:rFonts w:ascii="Calibri" w:cs="Times New Roman" w:hAnsi="Calibri"/>
      <w:b/>
      <w:bCs/>
      <w:i/>
      <w:iCs/>
      <w:color w:val="000000"/>
      <w:sz w:val="26"/>
      <w:szCs w:val="26"/>
    </w:rPr>
  </w:style>
  <w:style w:styleId="style21" w:type="character">
    <w:name w:val="Heading 6 Char"/>
    <w:basedOn w:val="style15"/>
    <w:next w:val="style21"/>
    <w:rPr>
      <w:rFonts w:ascii="Calibri" w:cs="Times New Roman" w:hAnsi="Calibri"/>
      <w:b/>
      <w:bCs/>
      <w:color w:val="000000"/>
    </w:rPr>
  </w:style>
  <w:style w:styleId="style22" w:type="character">
    <w:name w:val="Heading 7 Char"/>
    <w:basedOn w:val="style15"/>
    <w:next w:val="style22"/>
    <w:rPr>
      <w:rFonts w:ascii="Calibri" w:cs="Times New Roman" w:hAnsi="Calibri"/>
      <w:color w:val="000000"/>
      <w:sz w:val="24"/>
      <w:szCs w:val="24"/>
    </w:rPr>
  </w:style>
  <w:style w:styleId="style23" w:type="character">
    <w:name w:val="Heading 8 Char"/>
    <w:basedOn w:val="style15"/>
    <w:next w:val="style23"/>
    <w:rPr>
      <w:rFonts w:ascii="Calibri" w:cs="Times New Roman" w:hAnsi="Calibri"/>
      <w:i/>
      <w:iCs/>
      <w:color w:val="000000"/>
      <w:sz w:val="24"/>
      <w:szCs w:val="24"/>
    </w:rPr>
  </w:style>
  <w:style w:styleId="style24" w:type="character">
    <w:name w:val="Heading 9 Char"/>
    <w:basedOn w:val="style15"/>
    <w:next w:val="style24"/>
    <w:rPr>
      <w:rFonts w:ascii="Cambria" w:cs="Times New Roman" w:hAnsi="Cambria"/>
      <w:color w:val="000000"/>
    </w:rPr>
  </w:style>
  <w:style w:styleId="style25" w:type="character">
    <w:name w:val="WW8Num3z0"/>
    <w:next w:val="style25"/>
    <w:rPr>
      <w:rFonts w:ascii="Symbol" w:hAnsi="Symbol"/>
    </w:rPr>
  </w:style>
  <w:style w:styleId="style26" w:type="character">
    <w:name w:val="WW8Num4z0"/>
    <w:next w:val="style26"/>
    <w:rPr>
      <w:rFonts w:ascii="Symbol" w:hAnsi="Symbol"/>
    </w:rPr>
  </w:style>
  <w:style w:styleId="style27" w:type="character">
    <w:name w:val="WW8Num6z0"/>
    <w:next w:val="style27"/>
    <w:rPr>
      <w:rFonts w:ascii="Symbol" w:hAnsi="Symbol"/>
    </w:rPr>
  </w:style>
  <w:style w:styleId="style28" w:type="character">
    <w:name w:val="WW8Num6z1"/>
    <w:next w:val="style28"/>
    <w:rPr>
      <w:rFonts w:ascii="Courier New" w:hAnsi="Courier New"/>
      <w:sz w:val="20"/>
    </w:rPr>
  </w:style>
  <w:style w:styleId="style29" w:type="character">
    <w:name w:val="WW8Num6z2"/>
    <w:next w:val="style29"/>
    <w:rPr>
      <w:rFonts w:ascii="Wingdings" w:hAnsi="Wingdings"/>
      <w:sz w:val="20"/>
    </w:rPr>
  </w:style>
  <w:style w:styleId="style30" w:type="character">
    <w:name w:val="WW8Num8z0"/>
    <w:next w:val="style30"/>
    <w:rPr>
      <w:rFonts w:ascii="Symbol" w:hAnsi="Symbol"/>
    </w:rPr>
  </w:style>
  <w:style w:styleId="style31" w:type="character">
    <w:name w:val="WW8Num8z1"/>
    <w:next w:val="style31"/>
    <w:rPr>
      <w:rFonts w:ascii="Courier New" w:hAnsi="Courier New"/>
      <w:sz w:val="20"/>
    </w:rPr>
  </w:style>
  <w:style w:styleId="style32" w:type="character">
    <w:name w:val="WW8Num8z2"/>
    <w:next w:val="style32"/>
    <w:rPr>
      <w:rFonts w:ascii="Wingdings" w:hAnsi="Wingdings"/>
      <w:sz w:val="20"/>
    </w:rPr>
  </w:style>
  <w:style w:styleId="style33" w:type="character">
    <w:name w:val="WW8Num9z0"/>
    <w:next w:val="style33"/>
    <w:rPr>
      <w:rFonts w:ascii="Symbol" w:hAnsi="Symbol"/>
    </w:rPr>
  </w:style>
  <w:style w:styleId="style34" w:type="character">
    <w:name w:val="WW8Num9z1"/>
    <w:next w:val="style34"/>
    <w:rPr>
      <w:rFonts w:ascii="Courier New" w:hAnsi="Courier New"/>
      <w:sz w:val="20"/>
    </w:rPr>
  </w:style>
  <w:style w:styleId="style35" w:type="character">
    <w:name w:val="WW8Num9z2"/>
    <w:next w:val="style35"/>
    <w:rPr>
      <w:rFonts w:ascii="Wingdings" w:hAnsi="Wingdings"/>
      <w:sz w:val="20"/>
    </w:rPr>
  </w:style>
  <w:style w:styleId="style36" w:type="character">
    <w:name w:val="WW8Num12z0"/>
    <w:next w:val="style36"/>
    <w:rPr>
      <w:color w:val="000000"/>
    </w:rPr>
  </w:style>
  <w:style w:styleId="style37" w:type="character">
    <w:name w:val="WW8Num12z1"/>
    <w:next w:val="style37"/>
    <w:rPr>
      <w:rFonts w:ascii="Courier New" w:hAnsi="Courier New"/>
      <w:sz w:val="20"/>
    </w:rPr>
  </w:style>
  <w:style w:styleId="style38" w:type="character">
    <w:name w:val="WW8Num12z2"/>
    <w:next w:val="style38"/>
    <w:rPr>
      <w:rFonts w:ascii="Wingdings" w:hAnsi="Wingdings"/>
      <w:sz w:val="20"/>
    </w:rPr>
  </w:style>
  <w:style w:styleId="style39" w:type="character">
    <w:name w:val="WW8Num14z0"/>
    <w:next w:val="style39"/>
    <w:rPr>
      <w:color w:val="000000"/>
    </w:rPr>
  </w:style>
  <w:style w:styleId="style40" w:type="character">
    <w:name w:val="WW8Num16z0"/>
    <w:next w:val="style40"/>
    <w:rPr>
      <w:color w:val="000000"/>
    </w:rPr>
  </w:style>
  <w:style w:styleId="style41" w:type="character">
    <w:name w:val="WW8Num16z1"/>
    <w:next w:val="style41"/>
    <w:rPr>
      <w:rFonts w:ascii="Courier New" w:hAnsi="Courier New"/>
      <w:sz w:val="20"/>
    </w:rPr>
  </w:style>
  <w:style w:styleId="style42" w:type="character">
    <w:name w:val="WW8Num16z2"/>
    <w:next w:val="style42"/>
    <w:rPr>
      <w:rFonts w:ascii="Wingdings" w:hAnsi="Wingdings"/>
      <w:sz w:val="20"/>
    </w:rPr>
  </w:style>
  <w:style w:styleId="style43" w:type="character">
    <w:name w:val="WW8Num17z0"/>
    <w:next w:val="style43"/>
    <w:rPr>
      <w:color w:val="000000"/>
    </w:rPr>
  </w:style>
  <w:style w:styleId="style44" w:type="character">
    <w:name w:val="WW8Num17z1"/>
    <w:next w:val="style44"/>
    <w:rPr>
      <w:rFonts w:ascii="Courier New" w:hAnsi="Courier New"/>
      <w:sz w:val="20"/>
    </w:rPr>
  </w:style>
  <w:style w:styleId="style45" w:type="character">
    <w:name w:val="WW8Num17z2"/>
    <w:next w:val="style45"/>
    <w:rPr>
      <w:rFonts w:ascii="Wingdings" w:hAnsi="Wingdings"/>
      <w:sz w:val="20"/>
    </w:rPr>
  </w:style>
  <w:style w:styleId="style46" w:type="character">
    <w:name w:val="WW8Num19z0"/>
    <w:next w:val="style46"/>
    <w:rPr>
      <w:color w:val="000000"/>
    </w:rPr>
  </w:style>
  <w:style w:styleId="style47" w:type="character">
    <w:name w:val="WW8Num22z0"/>
    <w:next w:val="style47"/>
    <w:rPr/>
  </w:style>
  <w:style w:styleId="style48" w:type="character">
    <w:name w:val="Absatz-Standardschriftart"/>
    <w:next w:val="style48"/>
    <w:rPr/>
  </w:style>
  <w:style w:styleId="style49" w:type="character">
    <w:name w:val="WW8Num2z0"/>
    <w:next w:val="style49"/>
    <w:rPr>
      <w:rFonts w:ascii="Symbol" w:hAnsi="Symbol"/>
    </w:rPr>
  </w:style>
  <w:style w:styleId="style50" w:type="character">
    <w:name w:val="WW8Num5z0"/>
    <w:next w:val="style50"/>
    <w:rPr>
      <w:rFonts w:ascii="Symbol" w:hAnsi="Symbol"/>
    </w:rPr>
  </w:style>
  <w:style w:styleId="style51" w:type="character">
    <w:name w:val="WW8Num7z0"/>
    <w:next w:val="style51"/>
    <w:rPr>
      <w:rFonts w:ascii="Symbol" w:hAnsi="Symbol"/>
    </w:rPr>
  </w:style>
  <w:style w:styleId="style52" w:type="character">
    <w:name w:val="WW8Num11z0"/>
    <w:next w:val="style52"/>
    <w:rPr/>
  </w:style>
  <w:style w:styleId="style53" w:type="character">
    <w:name w:val="Fonte parág. padrão6"/>
    <w:next w:val="style53"/>
    <w:rPr/>
  </w:style>
  <w:style w:styleId="style54" w:type="character">
    <w:name w:val="Fonte parág. padrão5"/>
    <w:next w:val="style54"/>
    <w:rPr/>
  </w:style>
  <w:style w:styleId="style55" w:type="character">
    <w:name w:val="WW8Num10z0"/>
    <w:next w:val="style55"/>
    <w:rPr>
      <w:rFonts w:ascii="Symbol" w:hAnsi="Symbol"/>
    </w:rPr>
  </w:style>
  <w:style w:styleId="style56" w:type="character">
    <w:name w:val="Fonte parág. padrão4"/>
    <w:next w:val="style56"/>
    <w:rPr/>
  </w:style>
  <w:style w:styleId="style57" w:type="character">
    <w:name w:val="Fonte parág. padrão3"/>
    <w:next w:val="style57"/>
    <w:rPr/>
  </w:style>
  <w:style w:styleId="style58" w:type="character">
    <w:name w:val="WW-Absatz-Standardschriftart"/>
    <w:next w:val="style58"/>
    <w:rPr/>
  </w:style>
  <w:style w:styleId="style59" w:type="character">
    <w:name w:val="WW-Absatz-Standardschriftart1"/>
    <w:next w:val="style59"/>
    <w:rPr/>
  </w:style>
  <w:style w:styleId="style60" w:type="character">
    <w:name w:val="WW-Absatz-Standardschriftart11"/>
    <w:next w:val="style60"/>
    <w:rPr/>
  </w:style>
  <w:style w:styleId="style61" w:type="character">
    <w:name w:val="WW-Absatz-Standardschriftart111"/>
    <w:next w:val="style61"/>
    <w:rPr/>
  </w:style>
  <w:style w:styleId="style62" w:type="character">
    <w:name w:val="WW-Absatz-Standardschriftart1111"/>
    <w:next w:val="style62"/>
    <w:rPr/>
  </w:style>
  <w:style w:styleId="style63" w:type="character">
    <w:name w:val="WW-Absatz-Standardschriftart11111"/>
    <w:next w:val="style63"/>
    <w:rPr/>
  </w:style>
  <w:style w:styleId="style64" w:type="character">
    <w:name w:val="WW-Absatz-Standardschriftart111111"/>
    <w:next w:val="style64"/>
    <w:rPr/>
  </w:style>
  <w:style w:styleId="style65" w:type="character">
    <w:name w:val="WW-Absatz-Standardschriftart1111111"/>
    <w:next w:val="style65"/>
    <w:rPr/>
  </w:style>
  <w:style w:styleId="style66" w:type="character">
    <w:name w:val="Fonte parág. padrão2"/>
    <w:next w:val="style66"/>
    <w:rPr/>
  </w:style>
  <w:style w:styleId="style67" w:type="character">
    <w:name w:val="WW-Absatz-Standardschriftart11111111"/>
    <w:next w:val="style67"/>
    <w:rPr/>
  </w:style>
  <w:style w:styleId="style68" w:type="character">
    <w:name w:val="WW-Absatz-Standardschriftart111111111"/>
    <w:next w:val="style68"/>
    <w:rPr/>
  </w:style>
  <w:style w:styleId="style69" w:type="character">
    <w:name w:val="WW-Absatz-Standardschriftart1111111111"/>
    <w:next w:val="style69"/>
    <w:rPr/>
  </w:style>
  <w:style w:styleId="style70" w:type="character">
    <w:name w:val="WW-Absatz-Standardschriftart11111111111"/>
    <w:next w:val="style70"/>
    <w:rPr/>
  </w:style>
  <w:style w:styleId="style71" w:type="character">
    <w:name w:val="WW8Num15z0"/>
    <w:next w:val="style71"/>
    <w:rPr>
      <w:rFonts w:ascii="Arial" w:hAnsi="Arial"/>
    </w:rPr>
  </w:style>
  <w:style w:styleId="style72" w:type="character">
    <w:name w:val="WW8Num20z0"/>
    <w:next w:val="style72"/>
    <w:rPr>
      <w:rFonts w:ascii="Symbol" w:hAnsi="Symbol"/>
    </w:rPr>
  </w:style>
  <w:style w:styleId="style73" w:type="character">
    <w:name w:val="WW8Num20z1"/>
    <w:next w:val="style73"/>
    <w:rPr>
      <w:rFonts w:ascii="Courier New" w:hAnsi="Courier New"/>
    </w:rPr>
  </w:style>
  <w:style w:styleId="style74" w:type="character">
    <w:name w:val="WW8Num20z2"/>
    <w:next w:val="style74"/>
    <w:rPr>
      <w:rFonts w:ascii="Wingdings" w:hAnsi="Wingdings"/>
    </w:rPr>
  </w:style>
  <w:style w:styleId="style75" w:type="character">
    <w:name w:val="Fonte parág. padrão1"/>
    <w:next w:val="style75"/>
    <w:rPr/>
  </w:style>
  <w:style w:styleId="style76" w:type="character">
    <w:name w:val="page number"/>
    <w:basedOn w:val="style75"/>
    <w:next w:val="style76"/>
    <w:rPr>
      <w:rFonts w:cs="Times New Roman"/>
    </w:rPr>
  </w:style>
  <w:style w:styleId="style77" w:type="character">
    <w:name w:val="Link da Internet"/>
    <w:basedOn w:val="style75"/>
    <w:next w:val="style77"/>
    <w:rPr>
      <w:rFonts w:cs="Times New Roman"/>
      <w:color w:val="0000FF"/>
      <w:u w:val="single"/>
      <w:lang w:bidi="zxx-" w:eastAsia="zxx-" w:val="zxx-"/>
    </w:rPr>
  </w:style>
  <w:style w:styleId="style78" w:type="character">
    <w:name w:val="Ref. de comentário1"/>
    <w:basedOn w:val="style57"/>
    <w:next w:val="style78"/>
    <w:rPr>
      <w:rFonts w:cs="Times New Roman"/>
      <w:sz w:val="16"/>
      <w:szCs w:val="16"/>
    </w:rPr>
  </w:style>
  <w:style w:styleId="style79" w:type="character">
    <w:name w:val="Ref. de comentário2"/>
    <w:basedOn w:val="style54"/>
    <w:next w:val="style79"/>
    <w:rPr>
      <w:rFonts w:cs="Times New Roman"/>
      <w:sz w:val="16"/>
      <w:szCs w:val="16"/>
    </w:rPr>
  </w:style>
  <w:style w:styleId="style80" w:type="character">
    <w:name w:val="Ênfase forte"/>
    <w:basedOn w:val="style54"/>
    <w:next w:val="style80"/>
    <w:rPr>
      <w:rFonts w:cs="Times New Roman"/>
      <w:b/>
      <w:bCs/>
    </w:rPr>
  </w:style>
  <w:style w:styleId="style81" w:type="character">
    <w:name w:val="Marcas"/>
    <w:next w:val="style81"/>
    <w:rPr>
      <w:rFonts w:ascii="OpenSymbol" w:cs="OpenSymbol" w:eastAsia="OpenSymbol" w:hAnsi="OpenSymbol"/>
    </w:rPr>
  </w:style>
  <w:style w:styleId="style82" w:type="character">
    <w:name w:val="Ênfase"/>
    <w:basedOn w:val="style15"/>
    <w:next w:val="style82"/>
    <w:rPr>
      <w:rFonts w:cs="Times New Roman"/>
      <w:i/>
      <w:iCs/>
    </w:rPr>
  </w:style>
  <w:style w:styleId="style83" w:type="character">
    <w:name w:val="Title Char"/>
    <w:basedOn w:val="style15"/>
    <w:next w:val="style83"/>
    <w:rPr>
      <w:rFonts w:ascii="Cambria" w:cs="Times New Roman" w:hAnsi="Cambria"/>
      <w:b/>
      <w:bCs/>
      <w:color w:val="000000"/>
      <w:sz w:val="32"/>
      <w:szCs w:val="32"/>
    </w:rPr>
  </w:style>
  <w:style w:styleId="style84" w:type="character">
    <w:name w:val="Subtitle Char"/>
    <w:basedOn w:val="style15"/>
    <w:next w:val="style84"/>
    <w:rPr>
      <w:rFonts w:ascii="Cambria" w:cs="Times New Roman" w:hAnsi="Cambria"/>
      <w:color w:val="000000"/>
      <w:sz w:val="24"/>
      <w:szCs w:val="24"/>
    </w:rPr>
  </w:style>
  <w:style w:styleId="style85" w:type="character">
    <w:name w:val="Header Char"/>
    <w:basedOn w:val="style15"/>
    <w:next w:val="style85"/>
    <w:rPr>
      <w:rFonts w:ascii="Arial;Arial" w:cs="Arial;Arial" w:hAnsi="Arial;Arial"/>
      <w:color w:val="000000"/>
      <w:sz w:val="24"/>
      <w:szCs w:val="24"/>
    </w:rPr>
  </w:style>
  <w:style w:styleId="style86" w:type="character">
    <w:name w:val="Footer Char"/>
    <w:basedOn w:val="style15"/>
    <w:next w:val="style86"/>
    <w:rPr>
      <w:rFonts w:ascii="Garamond" w:cs="Times New Roman" w:hAnsi="Garamond"/>
      <w:sz w:val="20"/>
      <w:szCs w:val="20"/>
    </w:rPr>
  </w:style>
  <w:style w:styleId="style87" w:type="character">
    <w:name w:val="Comment Text Char"/>
    <w:basedOn w:val="style15"/>
    <w:next w:val="style87"/>
    <w:rPr>
      <w:rFonts w:ascii="Arial;Arial" w:cs="Arial;Arial" w:hAnsi="Arial;Arial"/>
      <w:color w:val="000000"/>
      <w:sz w:val="20"/>
      <w:szCs w:val="20"/>
    </w:rPr>
  </w:style>
  <w:style w:styleId="style88" w:type="character">
    <w:name w:val="Comment Subject Char"/>
    <w:basedOn w:val="style87"/>
    <w:next w:val="style88"/>
    <w:rPr>
      <w:b/>
      <w:bCs/>
    </w:rPr>
  </w:style>
  <w:style w:styleId="style89" w:type="character">
    <w:name w:val="Balloon Text Char"/>
    <w:basedOn w:val="style15"/>
    <w:next w:val="style89"/>
    <w:rPr>
      <w:rFonts w:ascii="Times New Roman" w:cs="Arial;Arial" w:hAnsi="Times New Roman"/>
      <w:color w:val="000000"/>
      <w:sz w:val="2"/>
    </w:rPr>
  </w:style>
  <w:style w:styleId="style90" w:type="character">
    <w:name w:val="annotation reference"/>
    <w:basedOn w:val="style15"/>
    <w:next w:val="style90"/>
    <w:rPr>
      <w:rFonts w:cs="Times New Roman"/>
      <w:sz w:val="16"/>
      <w:szCs w:val="16"/>
    </w:rPr>
  </w:style>
  <w:style w:styleId="style91" w:type="character">
    <w:name w:val="ListLabel 1"/>
    <w:next w:val="style91"/>
    <w:rPr>
      <w:rFonts w:cs="Times New Roman"/>
    </w:rPr>
  </w:style>
  <w:style w:styleId="style92" w:type="paragraph">
    <w:name w:val="Título"/>
    <w:basedOn w:val="style0"/>
    <w:next w:val="style93"/>
    <w:pPr>
      <w:keepNext/>
      <w:spacing w:after="120" w:before="240"/>
      <w:contextualSpacing w:val="false"/>
    </w:pPr>
    <w:rPr>
      <w:rFonts w:ascii="Arial" w:cs="Tahoma" w:eastAsia="Microsoft YaHei" w:hAnsi="Arial"/>
      <w:sz w:val="28"/>
      <w:szCs w:val="28"/>
    </w:rPr>
  </w:style>
  <w:style w:styleId="style93" w:type="paragraph">
    <w:name w:val="Corpo do texto"/>
    <w:basedOn w:val="style0"/>
    <w:next w:val="style93"/>
    <w:pPr>
      <w:spacing w:after="120" w:before="0"/>
      <w:contextualSpacing w:val="false"/>
    </w:pPr>
    <w:rPr/>
  </w:style>
  <w:style w:styleId="style94" w:type="paragraph">
    <w:name w:val="Lista"/>
    <w:basedOn w:val="style0"/>
    <w:next w:val="style94"/>
    <w:pPr>
      <w:ind w:hanging="283" w:left="283" w:right="0"/>
    </w:pPr>
    <w:rPr>
      <w:rFonts w:cs="Mangal"/>
    </w:rPr>
  </w:style>
  <w:style w:styleId="style95" w:type="paragraph">
    <w:name w:val="Legenda"/>
    <w:basedOn w:val="style0"/>
    <w:next w:val="style95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96" w:type="paragraph">
    <w:name w:val="Índice"/>
    <w:basedOn w:val="style0"/>
    <w:next w:val="style96"/>
    <w:pPr>
      <w:suppressLineNumbers/>
    </w:pPr>
    <w:rPr>
      <w:rFonts w:cs="Tahoma"/>
    </w:rPr>
  </w:style>
  <w:style w:styleId="style97" w:type="paragraph">
    <w:name w:val="Título do documento"/>
    <w:basedOn w:val="style0"/>
    <w:next w:val="style97"/>
    <w:pPr>
      <w:keepNext/>
      <w:spacing w:after="120" w:before="240"/>
      <w:contextualSpacing w:val="false"/>
      <w:jc w:val="left"/>
    </w:pPr>
    <w:rPr>
      <w:rFonts w:ascii="Arial" w:cs="Tahoma" w:eastAsia="MS Mincho" w:hAnsi="Arial"/>
      <w:sz w:val="28"/>
      <w:szCs w:val="28"/>
    </w:rPr>
  </w:style>
  <w:style w:styleId="style98" w:type="paragraph">
    <w:name w:val="Título principal"/>
    <w:basedOn w:val="style0"/>
    <w:next w:val="style98"/>
    <w:pPr>
      <w:keepNext/>
      <w:spacing w:after="60" w:before="240"/>
      <w:contextualSpacing w:val="false"/>
      <w:jc w:val="center"/>
    </w:pPr>
    <w:rPr>
      <w:rFonts w:ascii="Arial" w:cs="Tahoma" w:hAnsi="Arial"/>
      <w:b/>
      <w:caps/>
      <w:sz w:val="32"/>
      <w:szCs w:val="28"/>
    </w:rPr>
  </w:style>
  <w:style w:styleId="style99" w:type="paragraph">
    <w:name w:val="Subtítulo"/>
    <w:basedOn w:val="style92"/>
    <w:next w:val="style99"/>
    <w:pPr>
      <w:jc w:val="center"/>
    </w:pPr>
    <w:rPr>
      <w:i/>
      <w:iCs/>
    </w:rPr>
  </w:style>
  <w:style w:styleId="style100" w:type="paragraph">
    <w:name w:val="caption"/>
    <w:basedOn w:val="style0"/>
    <w:next w:val="style100"/>
    <w:pPr>
      <w:suppressLineNumbers/>
      <w:spacing w:after="120" w:before="120"/>
      <w:contextualSpacing w:val="false"/>
    </w:pPr>
    <w:rPr>
      <w:rFonts w:cs="Tahoma"/>
      <w:i/>
      <w:iCs/>
      <w:szCs w:val="24"/>
    </w:rPr>
  </w:style>
  <w:style w:styleId="style101" w:type="paragraph">
    <w:name w:val="Legenda6"/>
    <w:basedOn w:val="style0"/>
    <w:next w:val="style101"/>
    <w:pPr>
      <w:suppressLineNumbers/>
      <w:spacing w:after="120" w:before="120"/>
      <w:contextualSpacing w:val="false"/>
    </w:pPr>
    <w:rPr>
      <w:rFonts w:cs="Tahoma"/>
      <w:i/>
      <w:iCs/>
      <w:szCs w:val="24"/>
    </w:rPr>
  </w:style>
  <w:style w:styleId="style102" w:type="paragraph">
    <w:name w:val="Legenda5"/>
    <w:basedOn w:val="style0"/>
    <w:next w:val="style102"/>
    <w:pPr>
      <w:suppressLineNumbers/>
      <w:spacing w:after="120" w:before="120"/>
      <w:contextualSpacing w:val="false"/>
    </w:pPr>
    <w:rPr>
      <w:rFonts w:cs="Tahoma"/>
      <w:i/>
      <w:iCs/>
      <w:szCs w:val="24"/>
    </w:rPr>
  </w:style>
  <w:style w:styleId="style103" w:type="paragraph">
    <w:name w:val="Legenda4"/>
    <w:basedOn w:val="style0"/>
    <w:next w:val="style103"/>
    <w:pPr>
      <w:suppressLineNumbers/>
      <w:spacing w:after="120" w:before="120"/>
      <w:contextualSpacing w:val="false"/>
    </w:pPr>
    <w:rPr>
      <w:rFonts w:cs="Tahoma"/>
      <w:i/>
      <w:iCs/>
      <w:szCs w:val="24"/>
    </w:rPr>
  </w:style>
  <w:style w:styleId="style104" w:type="paragraph">
    <w:name w:val="Legenda3"/>
    <w:basedOn w:val="style0"/>
    <w:next w:val="style104"/>
    <w:pPr>
      <w:suppressLineNumbers/>
      <w:spacing w:after="120" w:before="120"/>
      <w:contextualSpacing w:val="false"/>
    </w:pPr>
    <w:rPr>
      <w:rFonts w:cs="Tahoma"/>
      <w:i/>
      <w:iCs/>
      <w:szCs w:val="24"/>
    </w:rPr>
  </w:style>
  <w:style w:styleId="style105" w:type="paragraph">
    <w:name w:val="Legenda2"/>
    <w:basedOn w:val="style0"/>
    <w:next w:val="style105"/>
    <w:pPr>
      <w:suppressLineNumbers/>
      <w:spacing w:after="120" w:before="120"/>
      <w:contextualSpacing w:val="false"/>
    </w:pPr>
    <w:rPr>
      <w:rFonts w:cs="Tahoma"/>
      <w:i/>
      <w:iCs/>
      <w:szCs w:val="24"/>
    </w:rPr>
  </w:style>
  <w:style w:styleId="style106" w:type="paragraph">
    <w:name w:val="Legenda1"/>
    <w:basedOn w:val="style0"/>
    <w:next w:val="style106"/>
    <w:pPr>
      <w:spacing w:after="120" w:before="120"/>
      <w:contextualSpacing w:val="false"/>
    </w:pPr>
    <w:rPr>
      <w:b/>
    </w:rPr>
  </w:style>
  <w:style w:styleId="style107" w:type="paragraph">
    <w:name w:val="Legenda7"/>
    <w:basedOn w:val="style0"/>
    <w:next w:val="style107"/>
    <w:pPr>
      <w:suppressLineNumbers/>
      <w:spacing w:after="120" w:before="120"/>
      <w:contextualSpacing w:val="false"/>
    </w:pPr>
    <w:rPr>
      <w:rFonts w:cs="Tahoma"/>
      <w:i/>
      <w:iCs/>
      <w:szCs w:val="24"/>
    </w:rPr>
  </w:style>
  <w:style w:styleId="style108" w:type="paragraph">
    <w:name w:val="Sumário 1"/>
    <w:basedOn w:val="style0"/>
    <w:next w:val="style108"/>
    <w:pPr>
      <w:spacing w:after="120" w:before="240"/>
      <w:contextualSpacing w:val="false"/>
    </w:pPr>
    <w:rPr>
      <w:b/>
    </w:rPr>
  </w:style>
  <w:style w:styleId="style109" w:type="paragraph">
    <w:name w:val="Sumário 2"/>
    <w:basedOn w:val="style0"/>
    <w:next w:val="style109"/>
    <w:pPr>
      <w:spacing w:after="0" w:before="120"/>
      <w:ind w:hanging="0" w:left="240" w:right="0"/>
      <w:contextualSpacing w:val="false"/>
    </w:pPr>
    <w:rPr>
      <w:i/>
    </w:rPr>
  </w:style>
  <w:style w:styleId="style110" w:type="paragraph">
    <w:name w:val="Sumário 3"/>
    <w:basedOn w:val="style0"/>
    <w:next w:val="style110"/>
    <w:pPr>
      <w:ind w:hanging="0" w:left="480" w:right="0"/>
    </w:pPr>
    <w:rPr/>
  </w:style>
  <w:style w:styleId="style111" w:type="paragraph">
    <w:name w:val="Sumário 4"/>
    <w:basedOn w:val="style0"/>
    <w:next w:val="style111"/>
    <w:pPr>
      <w:ind w:hanging="0" w:left="720" w:right="0"/>
    </w:pPr>
    <w:rPr/>
  </w:style>
  <w:style w:styleId="style112" w:type="paragraph">
    <w:name w:val="Sumário 5"/>
    <w:basedOn w:val="style0"/>
    <w:next w:val="style112"/>
    <w:pPr>
      <w:ind w:hanging="0" w:left="960" w:right="0"/>
    </w:pPr>
    <w:rPr/>
  </w:style>
  <w:style w:styleId="style113" w:type="paragraph">
    <w:name w:val="Sumário 6"/>
    <w:basedOn w:val="style0"/>
    <w:next w:val="style113"/>
    <w:pPr>
      <w:ind w:hanging="0" w:left="1200" w:right="0"/>
    </w:pPr>
    <w:rPr/>
  </w:style>
  <w:style w:styleId="style114" w:type="paragraph">
    <w:name w:val="Sumário 7"/>
    <w:basedOn w:val="style0"/>
    <w:next w:val="style114"/>
    <w:pPr>
      <w:ind w:hanging="0" w:left="1440" w:right="0"/>
    </w:pPr>
    <w:rPr/>
  </w:style>
  <w:style w:styleId="style115" w:type="paragraph">
    <w:name w:val="Sumário 8"/>
    <w:basedOn w:val="style0"/>
    <w:next w:val="style115"/>
    <w:pPr>
      <w:ind w:hanging="0" w:left="1680" w:right="0"/>
    </w:pPr>
    <w:rPr/>
  </w:style>
  <w:style w:styleId="style116" w:type="paragraph">
    <w:name w:val="Sumário 9"/>
    <w:basedOn w:val="style0"/>
    <w:next w:val="style116"/>
    <w:pPr>
      <w:ind w:hanging="0" w:left="1920" w:right="0"/>
    </w:pPr>
    <w:rPr/>
  </w:style>
  <w:style w:styleId="style117" w:type="paragraph">
    <w:name w:val="Cabeçalho"/>
    <w:basedOn w:val="style0"/>
    <w:next w:val="style117"/>
    <w:pPr>
      <w:keepLines/>
      <w:spacing w:line="240" w:lineRule="atLeast"/>
      <w:jc w:val="center"/>
    </w:pPr>
    <w:rPr>
      <w:rFonts w:ascii="Garamond" w:hAnsi="Garamond"/>
      <w:smallCaps/>
      <w:sz w:val="22"/>
    </w:rPr>
  </w:style>
  <w:style w:styleId="style118" w:type="paragraph">
    <w:name w:val="Cargo"/>
    <w:next w:val="style118"/>
    <w:pPr>
      <w:widowControl w:val="false"/>
      <w:tabs>
        <w:tab w:leader="none" w:pos="4677" w:val="center"/>
      </w:tabs>
      <w:suppressAutoHyphens w:val="true"/>
      <w:spacing w:after="200" w:before="0" w:line="360" w:lineRule="auto"/>
      <w:contextualSpacing w:val="false"/>
      <w:jc w:val="center"/>
    </w:pPr>
    <w:rPr>
      <w:rFonts w:ascii="Times New Roman" w:cs="Times New Roman" w:eastAsia="Times New Roman" w:hAnsi="Times New Roman"/>
      <w:b/>
      <w:bCs/>
      <w:color w:val="00000A"/>
      <w:sz w:val="28"/>
      <w:szCs w:val="20"/>
      <w:lang w:bidi="ar-SA" w:eastAsia="pt-BR" w:val="pt-BR"/>
    </w:rPr>
  </w:style>
  <w:style w:styleId="style119" w:type="paragraph">
    <w:name w:val="Com marcadores1"/>
    <w:basedOn w:val="style0"/>
    <w:next w:val="style119"/>
    <w:pPr/>
    <w:rPr/>
  </w:style>
  <w:style w:styleId="style120" w:type="paragraph">
    <w:name w:val="Com marcadores 21"/>
    <w:basedOn w:val="style0"/>
    <w:next w:val="style120"/>
    <w:pPr/>
    <w:rPr/>
  </w:style>
  <w:style w:styleId="style121" w:type="paragraph">
    <w:name w:val="Com marcadores 31"/>
    <w:basedOn w:val="style0"/>
    <w:next w:val="style121"/>
    <w:pPr/>
    <w:rPr/>
  </w:style>
  <w:style w:styleId="style122" w:type="paragraph">
    <w:name w:val="Com marcadores 41"/>
    <w:basedOn w:val="style0"/>
    <w:next w:val="style122"/>
    <w:pPr/>
    <w:rPr/>
  </w:style>
  <w:style w:styleId="style123" w:type="paragraph">
    <w:name w:val="Com marcadores 51"/>
    <w:basedOn w:val="style0"/>
    <w:next w:val="style123"/>
    <w:pPr/>
    <w:rPr/>
  </w:style>
  <w:style w:styleId="style124" w:type="paragraph">
    <w:name w:val="Corpo de texto 21"/>
    <w:basedOn w:val="style0"/>
    <w:next w:val="style124"/>
    <w:pPr/>
    <w:rPr/>
  </w:style>
  <w:style w:styleId="style125" w:type="paragraph">
    <w:name w:val="Figura"/>
    <w:basedOn w:val="style0"/>
    <w:next w:val="style125"/>
    <w:pPr>
      <w:jc w:val="center"/>
    </w:pPr>
    <w:rPr/>
  </w:style>
  <w:style w:styleId="style126" w:type="paragraph">
    <w:name w:val="Lista 21"/>
    <w:basedOn w:val="style0"/>
    <w:next w:val="style126"/>
    <w:pPr>
      <w:ind w:hanging="283" w:left="566" w:right="0"/>
    </w:pPr>
    <w:rPr/>
  </w:style>
  <w:style w:styleId="style127" w:type="paragraph">
    <w:name w:val="Lista 31"/>
    <w:basedOn w:val="style0"/>
    <w:next w:val="style127"/>
    <w:pPr>
      <w:ind w:hanging="283" w:left="849" w:right="0"/>
    </w:pPr>
    <w:rPr/>
  </w:style>
  <w:style w:styleId="style128" w:type="paragraph">
    <w:name w:val="Lista 41"/>
    <w:basedOn w:val="style0"/>
    <w:next w:val="style128"/>
    <w:pPr>
      <w:ind w:hanging="283" w:left="1132" w:right="0"/>
    </w:pPr>
    <w:rPr/>
  </w:style>
  <w:style w:styleId="style129" w:type="paragraph">
    <w:name w:val="Lista 51"/>
    <w:basedOn w:val="style0"/>
    <w:next w:val="style129"/>
    <w:pPr>
      <w:ind w:hanging="283" w:left="1415" w:right="0"/>
    </w:pPr>
    <w:rPr/>
  </w:style>
  <w:style w:styleId="style130" w:type="paragraph">
    <w:name w:val="Lista de continuação1"/>
    <w:basedOn w:val="style0"/>
    <w:next w:val="style130"/>
    <w:pPr>
      <w:spacing w:after="120" w:before="0"/>
      <w:ind w:hanging="0" w:left="283" w:right="0"/>
      <w:contextualSpacing w:val="false"/>
    </w:pPr>
    <w:rPr/>
  </w:style>
  <w:style w:styleId="style131" w:type="paragraph">
    <w:name w:val="Lista de continuação 21"/>
    <w:basedOn w:val="style0"/>
    <w:next w:val="style131"/>
    <w:pPr>
      <w:spacing w:after="120" w:before="0"/>
      <w:ind w:hanging="0" w:left="566" w:right="0"/>
      <w:contextualSpacing w:val="false"/>
    </w:pPr>
    <w:rPr/>
  </w:style>
  <w:style w:styleId="style132" w:type="paragraph">
    <w:name w:val="Lista de continuação 31"/>
    <w:basedOn w:val="style0"/>
    <w:next w:val="style132"/>
    <w:pPr>
      <w:spacing w:after="120" w:before="0"/>
      <w:ind w:hanging="0" w:left="849" w:right="0"/>
      <w:contextualSpacing w:val="false"/>
    </w:pPr>
    <w:rPr/>
  </w:style>
  <w:style w:styleId="style133" w:type="paragraph">
    <w:name w:val="Numerada1"/>
    <w:basedOn w:val="style0"/>
    <w:next w:val="style133"/>
    <w:pPr/>
    <w:rPr/>
  </w:style>
  <w:style w:styleId="style134" w:type="paragraph">
    <w:name w:val="Numerada 21"/>
    <w:basedOn w:val="style0"/>
    <w:next w:val="style134"/>
    <w:pPr/>
    <w:rPr/>
  </w:style>
  <w:style w:styleId="style135" w:type="paragraph">
    <w:name w:val="Numerada 31"/>
    <w:basedOn w:val="style0"/>
    <w:next w:val="style135"/>
    <w:pPr/>
    <w:rPr/>
  </w:style>
  <w:style w:styleId="style136" w:type="paragraph">
    <w:name w:val="Numerada 41"/>
    <w:basedOn w:val="style0"/>
    <w:next w:val="style136"/>
    <w:pPr>
      <w:suppressAutoHyphens w:val="false"/>
      <w:spacing w:line="100" w:lineRule="atLeast"/>
    </w:pPr>
    <w:rPr/>
  </w:style>
  <w:style w:styleId="style137" w:type="paragraph">
    <w:name w:val="Numerada 51"/>
    <w:basedOn w:val="style0"/>
    <w:next w:val="style137"/>
    <w:pPr/>
    <w:rPr/>
  </w:style>
  <w:style w:styleId="style138" w:type="paragraph">
    <w:name w:val="Corpo de texto recuado"/>
    <w:basedOn w:val="style0"/>
    <w:next w:val="style138"/>
    <w:pPr>
      <w:ind w:firstLine="720" w:left="0" w:right="0"/>
    </w:pPr>
    <w:rPr/>
  </w:style>
  <w:style w:styleId="style139" w:type="paragraph">
    <w:name w:val="Rodapé"/>
    <w:basedOn w:val="style0"/>
    <w:next w:val="style139"/>
    <w:pPr>
      <w:keepLines/>
      <w:spacing w:line="240" w:lineRule="atLeast"/>
      <w:ind w:hanging="0" w:left="0" w:right="-238"/>
      <w:jc w:val="center"/>
    </w:pPr>
    <w:rPr>
      <w:rFonts w:ascii="Garamond" w:hAnsi="Garamond"/>
      <w:sz w:val="22"/>
    </w:rPr>
  </w:style>
  <w:style w:styleId="style140" w:type="paragraph">
    <w:name w:val="Corpo de texto 31"/>
    <w:basedOn w:val="style0"/>
    <w:next w:val="style140"/>
    <w:pPr>
      <w:spacing w:line="100" w:lineRule="atLeast"/>
      <w:jc w:val="center"/>
    </w:pPr>
    <w:rPr>
      <w:b/>
      <w:bCs/>
    </w:rPr>
  </w:style>
  <w:style w:styleId="style141" w:type="paragraph">
    <w:name w:val="Recuo de corpo de texto 21"/>
    <w:basedOn w:val="style0"/>
    <w:next w:val="style141"/>
    <w:pPr>
      <w:spacing w:line="300" w:lineRule="auto"/>
      <w:ind w:hanging="284" w:left="284" w:right="0"/>
    </w:pPr>
    <w:rPr>
      <w:rFonts w:ascii="Arial" w:cs="Arial" w:hAnsi="Arial"/>
    </w:rPr>
  </w:style>
  <w:style w:styleId="style142" w:type="paragraph">
    <w:name w:val="xl24"/>
    <w:basedOn w:val="style0"/>
    <w:next w:val="style142"/>
    <w:pPr>
      <w:widowControl/>
      <w:suppressAutoHyphens w:val="false"/>
      <w:spacing w:after="100" w:before="100" w:line="100" w:lineRule="atLeast"/>
      <w:contextualSpacing w:val="false"/>
    </w:pPr>
    <w:rPr>
      <w:rFonts w:ascii="Arial" w:cs="Arial" w:eastAsia="Arial Unicode MS" w:hAnsi="Arial"/>
      <w:szCs w:val="24"/>
    </w:rPr>
  </w:style>
  <w:style w:styleId="style143" w:type="paragraph">
    <w:name w:val="Conteúdo da tabela"/>
    <w:basedOn w:val="style0"/>
    <w:next w:val="style143"/>
    <w:pPr>
      <w:suppressLineNumbers/>
    </w:pPr>
    <w:rPr/>
  </w:style>
  <w:style w:styleId="style144" w:type="paragraph">
    <w:name w:val="Título de tabela"/>
    <w:basedOn w:val="style143"/>
    <w:next w:val="style144"/>
    <w:pPr>
      <w:jc w:val="center"/>
    </w:pPr>
    <w:rPr>
      <w:b/>
      <w:bCs/>
    </w:rPr>
  </w:style>
  <w:style w:styleId="style145" w:type="paragraph">
    <w:name w:val="Conteúdo do quadro"/>
    <w:basedOn w:val="style93"/>
    <w:next w:val="style145"/>
    <w:pPr/>
    <w:rPr/>
  </w:style>
  <w:style w:styleId="style146" w:type="paragraph">
    <w:name w:val="Texto de comentário1"/>
    <w:basedOn w:val="style0"/>
    <w:next w:val="style146"/>
    <w:pPr/>
    <w:rPr>
      <w:sz w:val="20"/>
    </w:rPr>
  </w:style>
  <w:style w:styleId="style147" w:type="paragraph">
    <w:name w:val="annotation text"/>
    <w:basedOn w:val="style0"/>
    <w:next w:val="style147"/>
    <w:pPr>
      <w:spacing w:line="100" w:lineRule="atLeast"/>
    </w:pPr>
    <w:rPr>
      <w:sz w:val="20"/>
      <w:szCs w:val="20"/>
    </w:rPr>
  </w:style>
  <w:style w:styleId="style148" w:type="paragraph">
    <w:name w:val="annotation subject"/>
    <w:basedOn w:val="style146"/>
    <w:next w:val="style148"/>
    <w:pPr/>
    <w:rPr>
      <w:b/>
      <w:bCs/>
    </w:rPr>
  </w:style>
  <w:style w:styleId="style149" w:type="paragraph">
    <w:name w:val="Balloon Text"/>
    <w:basedOn w:val="style0"/>
    <w:next w:val="style149"/>
    <w:pPr/>
    <w:rPr>
      <w:rFonts w:ascii="Tahoma" w:cs="Tahoma" w:hAnsi="Tahoma"/>
      <w:sz w:val="16"/>
      <w:szCs w:val="16"/>
    </w:rPr>
  </w:style>
  <w:style w:styleId="style150" w:type="paragraph">
    <w:name w:val="Texto de comentário2"/>
    <w:basedOn w:val="style0"/>
    <w:next w:val="style150"/>
    <w:pPr/>
    <w:rPr>
      <w:sz w:val="20"/>
    </w:rPr>
  </w:style>
  <w:style w:styleId="style151" w:type="paragraph">
    <w:name w:val="western"/>
    <w:basedOn w:val="style0"/>
    <w:next w:val="style151"/>
    <w:pPr>
      <w:widowControl/>
      <w:suppressAutoHyphens w:val="false"/>
      <w:spacing w:after="119" w:before="100" w:line="100" w:lineRule="atLeast"/>
      <w:contextualSpacing w:val="false"/>
      <w:jc w:val="left"/>
    </w:pPr>
    <w:rPr>
      <w:szCs w:val="24"/>
    </w:rPr>
  </w:style>
  <w:style w:styleId="style152" w:type="paragraph">
    <w:name w:val="Citações"/>
    <w:basedOn w:val="style0"/>
    <w:next w:val="style152"/>
    <w:pPr>
      <w:spacing w:after="283" w:before="0"/>
      <w:ind w:hanging="0" w:left="567" w:right="567"/>
      <w:contextualSpacing w:val="fals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264</TotalTime>
  <Application>LibreOffice/4.1.2.3$Windows_x86 LibreOffice_project/40b2d7fde7e8d2d7bc5a449dc65df4d08a7dd38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2015-12-16T10:47:00Z</dcterms:created>
  <dc:creator>Windows 98 - IM</dc:creator>
  <cp:lastModifiedBy>Prof Lawrence</cp:lastModifiedBy>
  <cp:lastPrinted>2015-05-29T12:49:00Z</cp:lastPrinted>
  <dcterms:modified xsi:type="dcterms:W3CDTF">2016-01-19T18:15:00Z</dcterms:modified>
  <cp:revision>10</cp:revision>
  <dc:title>UNIVERSIDADE FEDERAL DE GOIÁS</dc:title>
</cp:coreProperties>
</file>