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1"/>
        <w:pBdr/>
        <w:spacing/>
        <w:ind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 w14:paraId="746E264C"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4A625A3">
      <w:pPr>
        <w:pStyle w:val="951"/>
        <w:pBdr/>
        <w:spacing/>
        <w:ind/>
        <w:jc w:val="center"/>
        <w:rPr/>
      </w:pPr>
      <w:r>
        <w:rPr>
          <w:rFonts w:ascii="Arial" w:hAnsi="Arial" w:cs="Arial"/>
          <w:bCs/>
          <w:color w:val="000000"/>
          <w:sz w:val="24"/>
          <w:szCs w:val="22"/>
          <w:lang w:val="pt-BR"/>
        </w:rPr>
        <w:t xml:space="preserve">PRORROGAÇÃO / RECONDUÇÃO</w:t>
      </w:r>
      <w:r/>
    </w:p>
    <w:p>
      <w:pPr>
        <w:pBdr/>
        <w:spacing/>
        <w:ind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Reitor(a) da UFG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</w:t>
      </w:r>
      <w:r>
        <w:rPr>
          <w:rFonts w:ascii="Arial" w:hAnsi="Arial" w:cs="Arial"/>
          <w:sz w:val="22"/>
          <w:szCs w:val="22"/>
        </w:rPr>
        <w:t xml:space="preserve">de Sindicância</w:t>
      </w:r>
      <w:r>
        <w:rPr>
          <w:rFonts w:ascii="Arial" w:hAnsi="Arial" w:cs="Arial"/>
          <w:sz w:val="22"/>
          <w:szCs w:val="22"/>
        </w:rPr>
        <w:t xml:space="preserve"> Investigativa (SINVE)</w:t>
      </w:r>
      <w:r>
        <w:rPr>
          <w:rFonts w:ascii="Arial" w:hAnsi="Arial" w:cs="Arial"/>
          <w:sz w:val="22"/>
          <w:szCs w:val="24"/>
        </w:rPr>
        <w:t xml:space="preserve">,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4"/>
        </w:rPr>
        <w:t xml:space="preserve">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color w:val="ff0000"/>
          <w:sz w:val="22"/>
          <w:szCs w:val="22"/>
        </w:rPr>
        <w:t xml:space="preserve">20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objeto do P</w:t>
      </w:r>
      <w:r>
        <w:rPr>
          <w:rFonts w:ascii="Arial" w:hAnsi="Arial" w:cs="Arial"/>
          <w:color w:val="000000"/>
          <w:sz w:val="22"/>
          <w:szCs w:val="24"/>
        </w:rPr>
        <w:t xml:space="preserve">rocesso </w:t>
      </w:r>
      <w:r>
        <w:rPr>
          <w:rFonts w:ascii="Arial" w:hAnsi="Arial" w:cs="Arial"/>
          <w:color w:val="000000"/>
          <w:sz w:val="22"/>
          <w:szCs w:val="22"/>
        </w:rPr>
        <w:t xml:space="preserve">de Sindicância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4"/>
        </w:rPr>
        <w:t xml:space="preserve">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</w:t>
      </w:r>
      <w:r>
        <w:rPr>
          <w:rFonts w:ascii="Arial" w:hAnsi="Arial" w:cs="Arial"/>
          <w:color w:val="ff0000"/>
          <w:sz w:val="22"/>
          <w:szCs w:val="24"/>
        </w:rPr>
        <w:t xml:space="preserve">objeto/</w:t>
      </w:r>
      <w:r>
        <w:rPr>
          <w:rFonts w:ascii="Arial" w:hAnsi="Arial" w:cs="Arial"/>
          <w:color w:val="ff0000"/>
          <w:sz w:val="22"/>
          <w:szCs w:val="24"/>
        </w:rPr>
        <w:t xml:space="preserve">fato</w:t>
      </w:r>
      <w:r>
        <w:rPr>
          <w:rFonts w:ascii="Arial" w:hAnsi="Arial" w:cs="Arial"/>
          <w:color w:val="ff0000"/>
          <w:sz w:val="22"/>
          <w:szCs w:val="24"/>
        </w:rPr>
        <w:t xml:space="preserve"> do processo</w:t>
      </w:r>
      <w:r>
        <w:rPr>
          <w:rFonts w:ascii="Arial" w:hAnsi="Arial" w:cs="Arial"/>
          <w:color w:val="ff0000"/>
          <w:sz w:val="22"/>
          <w:szCs w:val="24"/>
        </w:rPr>
        <w:t xml:space="preserve">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 xml:space="preserve">encerra-se no próximo dia XX/XX</w:t>
      </w:r>
      <w:r>
        <w:rPr>
          <w:rFonts w:ascii="Arial" w:hAnsi="Arial" w:cs="Arial"/>
          <w:color w:val="ff0000"/>
          <w:sz w:val="22"/>
          <w:szCs w:val="24"/>
        </w:rPr>
        <w:t xml:space="preserve">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</w:t>
      </w:r>
      <w:r>
        <w:rPr>
          <w:rFonts w:ascii="Arial" w:hAnsi="Arial" w:cs="Arial"/>
          <w:color w:val="ff0000"/>
          <w:sz w:val="22"/>
          <w:szCs w:val="24"/>
        </w:rPr>
        <w:t xml:space="preserve">/</w:t>
      </w:r>
      <w:r>
        <w:rPr>
          <w:rFonts w:ascii="Arial" w:hAnsi="Arial" w:cs="Arial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20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venho respeitosamente, com fulcro no art.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48</w:t>
      </w:r>
      <w:r>
        <w:rPr>
          <w:rFonts w:ascii="Arial" w:hAnsi="Arial" w:cs="Arial"/>
          <w:color w:val="000000"/>
          <w:sz w:val="22"/>
          <w:szCs w:val="24"/>
        </w:rPr>
        <w:t xml:space="preserve">,</w:t>
      </w:r>
      <w:r>
        <w:rPr>
          <w:rFonts w:ascii="Arial" w:hAnsi="Arial" w:cs="Arial"/>
          <w:color w:val="000000"/>
          <w:sz w:val="22"/>
          <w:szCs w:val="24"/>
        </w:rPr>
        <w:t xml:space="preserve"> da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Portaria Normativa</w:t>
      </w:r>
      <w:r>
        <w:rPr>
          <w:rFonts w:ascii="Arial" w:hAnsi="Arial" w:cs="Arial"/>
          <w:color w:val="000000"/>
          <w:sz w:val="22"/>
          <w:szCs w:val="24"/>
        </w:rPr>
        <w:t xml:space="preserve"> CGU nº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27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22</w:t>
      </w:r>
      <w:r>
        <w:rPr>
          <w:rFonts w:ascii="Arial" w:hAnsi="Arial" w:cs="Arial"/>
          <w:color w:val="000000"/>
          <w:sz w:val="22"/>
          <w:szCs w:val="24"/>
        </w:rPr>
        <w:t xml:space="preserve">, SOLICITAR </w:t>
      </w:r>
      <w:r>
        <w:rPr>
          <w:rFonts w:ascii="Arial" w:hAnsi="Arial" w:cs="Arial"/>
          <w:b/>
          <w:bCs/>
          <w:color w:val="000000"/>
          <w:sz w:val="22"/>
          <w:szCs w:val="24"/>
          <w:lang w:val="pt-BR"/>
        </w:rPr>
        <w:t xml:space="preserve">PRORROGAÇÃO/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60 (sessenta) dias, </w:t>
      </w:r>
      <w:r>
        <w:rPr>
          <w:rFonts w:ascii="Arial" w:hAnsi="Arial" w:cs="Arial"/>
          <w:color w:val="000000"/>
          <w:sz w:val="22"/>
          <w:szCs w:val="24"/>
        </w:rPr>
        <w:t xml:space="preserve">para apuração devida dos fatos e conclusão dos trabalhos.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Bdr/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</w:t>
      </w:r>
      <w:r>
        <w:rPr>
          <w:rFonts w:ascii="Arial" w:hAnsi="Arial" w:cs="Arial"/>
          <w:color w:val="ff0000"/>
          <w:sz w:val="22"/>
          <w:szCs w:val="24"/>
        </w:rPr>
        <w:t xml:space="preserve">, oitiva de testemunhas e outros procedimentos administrativos necessários para a instrução e andamento dos autos</w:t>
      </w:r>
      <w:r>
        <w:rPr>
          <w:rFonts w:ascii="Arial" w:hAnsi="Arial" w:cs="Arial"/>
          <w:color w:val="ff0000"/>
          <w:sz w:val="22"/>
          <w:szCs w:val="24"/>
        </w:rPr>
        <w:t xml:space="preserve">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 xml:space="preserve">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</w:t>
      </w:r>
      <w:r>
        <w:rPr>
          <w:rFonts w:ascii="Arial" w:hAnsi="Arial" w:cs="Arial"/>
          <w:color w:val="000000"/>
          <w:sz w:val="22"/>
          <w:szCs w:val="24"/>
        </w:rPr>
        <w:t xml:space="preserve"> </w:t>
      </w:r>
      <w:r>
        <w:rPr>
          <w:rFonts w:ascii="Arial" w:hAnsi="Arial" w:cs="Arial"/>
          <w:color w:val="ff0000"/>
          <w:sz w:val="22"/>
          <w:szCs w:val="24"/>
        </w:rPr>
        <w:t xml:space="preserve">(</w:t>
      </w:r>
      <w:r>
        <w:rPr>
          <w:rFonts w:ascii="Arial" w:hAnsi="Arial" w:cs="Arial"/>
          <w:color w:val="ff0000"/>
          <w:sz w:val="22"/>
          <w:szCs w:val="24"/>
        </w:rPr>
        <w:t xml:space="preserve">Em caso da Comissão Sindicante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 xml:space="preserve">no momento</w:t>
      </w:r>
      <w:r>
        <w:rPr>
          <w:rFonts w:ascii="Arial" w:hAnsi="Arial" w:cs="Arial"/>
          <w:color w:val="ff0000"/>
          <w:sz w:val="22"/>
          <w:szCs w:val="24"/>
        </w:rPr>
        <w:t xml:space="preserve"> deste</w:t>
      </w:r>
      <w:r>
        <w:rPr>
          <w:rFonts w:ascii="Arial" w:hAnsi="Arial" w:cs="Arial"/>
          <w:color w:val="ff0000"/>
          <w:sz w:val="22"/>
          <w:szCs w:val="24"/>
        </w:rPr>
        <w:t xml:space="preserve"> pedido de Recondução, explicar o motivo </w:t>
      </w:r>
      <w:r>
        <w:rPr>
          <w:rFonts w:ascii="Arial" w:hAnsi="Arial" w:cs="Arial"/>
          <w:color w:val="ff0000"/>
          <w:sz w:val="22"/>
          <w:szCs w:val="24"/>
        </w:rPr>
        <w:t xml:space="preserve">para</w:t>
      </w:r>
      <w:r>
        <w:rPr>
          <w:rFonts w:ascii="Arial" w:hAnsi="Arial" w:cs="Arial"/>
          <w:color w:val="ff0000"/>
          <w:sz w:val="22"/>
          <w:szCs w:val="24"/>
        </w:rPr>
        <w:t xml:space="preserve"> a não execução de atividades da Comissão no interstício em que ficaram sem Portaria vigente).</w:t>
      </w:r>
      <w:bookmarkStart w:id="0" w:name="_GoBack"/>
      <w:r/>
      <w:bookmarkEnd w:id="0"/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tabs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Respeitosamente,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tabs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Bdr/>
        <w:tabs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2EC6B8DA">
      <w:pPr>
        <w:pBdr/>
        <w:spacing/>
        <w:ind/>
        <w:rPr/>
      </w:pP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  <w:r/>
    </w:p>
    <w:p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i/>
          <w:iCs/>
          <w:color w:val="0070c0"/>
          <w:sz w:val="22"/>
          <w:szCs w:val="24"/>
        </w:rPr>
        <w:t xml:space="preserve">Assinatura do Presidente ou Secretário diretamente no documento do SEI</w:t>
      </w:r>
      <w:r>
        <w:rPr>
          <w:rFonts w:ascii="Arial" w:hAnsi="Arial" w:cs="Arial"/>
          <w:i/>
          <w:iCs/>
          <w:color w:val="0070c0"/>
          <w:sz w:val="22"/>
          <w:szCs w:val="24"/>
        </w:rPr>
      </w:r>
      <w:r>
        <w:rPr>
          <w:rFonts w:ascii="Arial" w:hAnsi="Arial" w:cs="Arial"/>
          <w:bCs/>
          <w:i/>
          <w:color w:val="0070c0"/>
          <w:sz w:val="22"/>
          <w:szCs w:val="24"/>
        </w:rPr>
      </w:r>
    </w:p>
    <w:p w14:paraId="53B7FB9A"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</w:rPr>
      </w:pP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</w:p>
    <w:p w14:paraId="61A9786E"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</w:rPr>
      </w:pP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</w:p>
    <w:p w14:paraId="40805FE0">
      <w:pPr>
        <w:pBdr/>
        <w:spacing/>
        <w:ind/>
        <w:jc w:val="center"/>
        <w:rPr>
          <w:rFonts w:ascii="Arial" w:hAnsi="Arial" w:cs="Arial"/>
          <w:bCs/>
          <w:i/>
          <w:color w:val="0070c0"/>
          <w:sz w:val="22"/>
          <w:szCs w:val="22"/>
        </w:rPr>
      </w:pP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  <w:r>
        <w:rPr>
          <w:rFonts w:ascii="Arial" w:hAnsi="Arial" w:cs="Arial"/>
          <w:bCs/>
          <w:i/>
          <w:color w:val="0070c0"/>
          <w:sz w:val="22"/>
          <w:szCs w:val="22"/>
        </w:rPr>
      </w:r>
    </w:p>
    <w:p w14:paraId="1BE5254E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</w:p>
    <w:p w14:paraId="1653CAE1">
      <w:pPr>
        <w:pBdr/>
        <w:spacing/>
        <w:ind/>
        <w:jc w:val="center"/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4"/>
          <w:highlight w:val="none"/>
        </w:rPr>
      </w:r>
      <w:r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r>
      <w:r>
        <w:rPr>
          <w:rFonts w:ascii="Arial" w:hAnsi="Arial" w:cs="Arial"/>
          <w:b/>
          <w:bCs/>
          <w:i/>
          <w:color w:val="0070c0"/>
          <w:sz w:val="22"/>
          <w:szCs w:val="22"/>
          <w:highlight w:val="none"/>
        </w:rPr>
      </w:r>
    </w:p>
    <w:tbl>
      <w:tblPr>
        <w:tblStyle w:val="769"/>
        <w:tblW w:w="0" w:type="auto"/>
        <w:tblBorders/>
        <w:tblLook w:val="04A0" w:firstRow="1" w:lastRow="0" w:firstColumn="1" w:lastColumn="0" w:noHBand="0" w:noVBand="1"/>
      </w:tblPr>
      <w:tblGrid>
        <w:gridCol w:w="8503"/>
      </w:tblGrid>
      <w:tr>
        <w:trPr/>
        <w:tc>
          <w:tcPr>
            <w:tcBorders/>
            <w:tcW w:w="8503" w:type="dxa"/>
          </w:tcPr>
          <w:p w14:paraId="15E46A9D"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</w:rPr>
              <w:t xml:space="preserve">OBS.: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A presente Comissão fica ciente de que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  <w:u w:val="single"/>
              </w:rPr>
              <w:t xml:space="preserve">não poderá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highlight w:val="none"/>
              </w:rPr>
              <w:t xml:space="preserve">realizar nenhum ato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neste processo, enquanto não for publicada nova Portaria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highlight w:val="none"/>
              </w:rPr>
            </w:r>
          </w:p>
          <w:p w14:paraId="04CA370C">
            <w:pPr>
              <w:pBdr/>
              <w:spacing/>
              <w:ind/>
              <w:jc w:val="center"/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none"/>
              </w:rPr>
              <w:t xml:space="preserve">A publicação só é contada a partir do momento em que na Portaria constar o box no canto superior direito “Boletim de Serviços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70c0"/>
                <w:sz w:val="22"/>
                <w:szCs w:val="22"/>
                <w:highlight w:val="none"/>
              </w:rPr>
              <w:t xml:space="preserve">em XX/XX/XXXX”. </w:t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</w:p>
          <w:p w14:paraId="23324064">
            <w:pPr>
              <w:pBdr/>
              <w:spacing/>
              <w:ind/>
              <w:jc w:val="center"/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0070c0"/>
                <w:sz w:val="22"/>
                <w:szCs w:val="22"/>
                <w:highlight w:val="none"/>
              </w:rPr>
              <w:t xml:space="preserve">(Essa observação deve ser excluída quando da inserção do pedido no SEI)</w:t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 w:val="0"/>
                <w:bCs/>
                <w:i/>
                <w:color w:val="0070c0"/>
                <w:sz w:val="22"/>
                <w:szCs w:val="22"/>
                <w:highlight w:val="none"/>
              </w:rPr>
            </w:r>
          </w:p>
        </w:tc>
      </w:tr>
    </w:tbl>
    <w:p w14:paraId="05671BFC">
      <w:pPr>
        <w:pBdr/>
        <w:spacing/>
        <w:ind/>
        <w:jc w:val="center"/>
        <w:rPr>
          <w:rFonts w:ascii="Arial" w:hAnsi="Arial" w:cs="Arial"/>
          <w:b w:val="0"/>
          <w:bCs w:val="0"/>
          <w:i/>
          <w:color w:val="0070c0"/>
          <w:sz w:val="22"/>
          <w:szCs w:val="22"/>
          <w:highlight w:val="none"/>
        </w:rPr>
      </w:pPr>
      <w:r>
        <w:rPr>
          <w:rFonts w:ascii="Arial" w:hAnsi="Arial" w:cs="Arial"/>
          <w:b w:val="0"/>
          <w:bCs w:val="0"/>
          <w:i/>
          <w:iCs/>
          <w:color w:val="0070c0"/>
          <w:sz w:val="22"/>
          <w:szCs w:val="24"/>
          <w:highlight w:val="none"/>
        </w:rPr>
      </w:r>
      <w:r>
        <w:rPr>
          <w:b w:val="0"/>
          <w:bCs w:val="0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65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8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8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7"/>
      <w:pBdr>
        <w:bottom w:val="single" w:color="000000" w:sz="4" w:space="1"/>
      </w:pBdr>
      <w:spacing w:after="120"/>
      <w:ind/>
      <w:jc w:val="center"/>
      <w:rPr>
        <w:rFonts w:ascii="Tahoma" w:hAnsi="Tahoma" w:cs="Tahoma"/>
        <w:smallCaps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de</w:t>
    </w:r>
    <w:r>
      <w:rPr>
        <w:rFonts w:ascii="Tahoma" w:hAnsi="Tahoma" w:cs="Tahoma"/>
        <w:smallCaps/>
        <w:sz w:val="20"/>
        <w:szCs w:val="22"/>
      </w:rPr>
      <w:t xml:space="preserve"> </w:t>
    </w:r>
    <w:r>
      <w:rPr>
        <w:rFonts w:ascii="Tahoma" w:hAnsi="Tahoma" w:cs="Tahoma"/>
        <w:b/>
        <w:smallCaps/>
        <w:sz w:val="20"/>
        <w:szCs w:val="22"/>
      </w:rPr>
      <w:t xml:space="preserve">Sindicância</w:t>
    </w:r>
    <w:r>
      <w:rPr>
        <w:rFonts w:ascii="Tahoma" w:hAnsi="Tahoma" w:cs="Tahoma"/>
        <w:b/>
        <w:smallCaps/>
        <w:sz w:val="20"/>
        <w:szCs w:val="22"/>
      </w:rPr>
      <w:t xml:space="preserve"> Investigativa</w:t>
    </w:r>
    <w:r>
      <w:rPr>
        <w:rFonts w:ascii="Tahoma" w:hAnsi="Tahoma" w:cs="Tahoma"/>
        <w:smallCaps/>
        <w:sz w:val="20"/>
        <w:szCs w:val="22"/>
      </w:rPr>
      <w:t xml:space="preserve"> nº 23070.00</w:t>
    </w:r>
    <w:r>
      <w:rPr>
        <w:rFonts w:ascii="Tahoma" w:hAnsi="Tahoma" w:cs="Tahoma"/>
        <w:smallCaps/>
        <w:color w:val="ff0000"/>
        <w:sz w:val="20"/>
        <w:szCs w:val="22"/>
      </w:rPr>
      <w:t xml:space="preserve">xxxx</w:t>
    </w:r>
    <w:r>
      <w:rPr>
        <w:rFonts w:ascii="Tahoma" w:hAnsi="Tahoma" w:cs="Tahoma"/>
        <w:smallCaps/>
        <w:sz w:val="20"/>
        <w:szCs w:val="22"/>
      </w:rPr>
      <w:t xml:space="preserve">/20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  <w:t xml:space="preserve">-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</w:r>
    <w:r>
      <w:rPr>
        <w:rFonts w:ascii="Tahoma" w:hAnsi="Tahoma" w:cs="Tahoma"/>
        <w:smallCaps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>
    <w:name w:val="Table Grid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4"/>
    <w:basedOn w:val="950"/>
    <w:next w:val="950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0"/>
    <w:next w:val="950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0"/>
    <w:next w:val="950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0"/>
    <w:next w:val="950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0"/>
    <w:next w:val="950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0"/>
    <w:next w:val="950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4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4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4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4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4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4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4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0"/>
    <w:next w:val="950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4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0"/>
    <w:next w:val="950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4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0"/>
    <w:next w:val="950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4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6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17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8">
    <w:name w:val="Intense Quote"/>
    <w:basedOn w:val="950"/>
    <w:next w:val="950"/>
    <w:link w:val="9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9">
    <w:name w:val="Intense Quote Char"/>
    <w:basedOn w:val="954"/>
    <w:link w:val="9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0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1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2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>
    <w:name w:val="Header Char"/>
    <w:basedOn w:val="954"/>
    <w:link w:val="957"/>
    <w:uiPriority w:val="99"/>
    <w:pPr>
      <w:pBdr/>
      <w:spacing/>
      <w:ind/>
    </w:pPr>
  </w:style>
  <w:style w:type="character" w:styleId="928">
    <w:name w:val="Footer Char"/>
    <w:basedOn w:val="954"/>
    <w:link w:val="958"/>
    <w:uiPriority w:val="99"/>
    <w:pPr>
      <w:pBdr/>
      <w:spacing/>
      <w:ind/>
    </w:pPr>
  </w:style>
  <w:style w:type="paragraph" w:styleId="929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0">
    <w:name w:val="footnote text"/>
    <w:basedOn w:val="950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Footnote Text Char"/>
    <w:basedOn w:val="954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50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954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Hyperlink"/>
    <w:basedOn w:val="9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7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3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6">
    <w:name w:val="toc 9"/>
    <w:basedOn w:val="950"/>
    <w:next w:val="950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4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951">
    <w:name w:val="Heading 1"/>
    <w:basedOn w:val="950"/>
    <w:next w:val="95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52">
    <w:name w:val="Heading 2"/>
    <w:basedOn w:val="950"/>
    <w:next w:val="95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53">
    <w:name w:val="Heading 3"/>
    <w:basedOn w:val="950"/>
    <w:next w:val="950"/>
    <w:link w:val="963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paragraph" w:styleId="957">
    <w:name w:val="Header"/>
    <w:basedOn w:val="950"/>
    <w:link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8">
    <w:name w:val="Footer"/>
    <w:basedOn w:val="950"/>
    <w:link w:val="962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9">
    <w:name w:val="Body Text Indent"/>
    <w:basedOn w:val="950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960">
    <w:name w:val="Balloon Text"/>
    <w:basedOn w:val="95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1" w:customStyle="1">
    <w:name w:val="Cabeçalho Char"/>
    <w:link w:val="957"/>
    <w:pPr>
      <w:pBdr/>
      <w:spacing/>
      <w:ind/>
    </w:pPr>
    <w:rPr>
      <w:rFonts w:ascii="Lucida Handwriting" w:hAnsi="Lucida Handwriting"/>
      <w:sz w:val="28"/>
    </w:rPr>
  </w:style>
  <w:style w:type="character" w:styleId="962" w:customStyle="1">
    <w:name w:val="Rodapé Char"/>
    <w:link w:val="958"/>
    <w:pPr>
      <w:pBdr/>
      <w:spacing/>
      <w:ind/>
    </w:pPr>
    <w:rPr>
      <w:rFonts w:ascii="Lucida Handwriting" w:hAnsi="Lucida Handwriting"/>
      <w:sz w:val="28"/>
    </w:rPr>
  </w:style>
  <w:style w:type="character" w:styleId="963" w:customStyle="1">
    <w:name w:val="Título 3 Char"/>
    <w:link w:val="953"/>
    <w:pPr>
      <w:pBdr/>
      <w:spacing/>
      <w:ind/>
    </w:pPr>
    <w:rPr>
      <w:rFonts w:ascii="Garamond" w:hAnsi="Garamond"/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5</cp:revision>
  <dcterms:created xsi:type="dcterms:W3CDTF">2020-01-14T13:46:00Z</dcterms:created>
  <dcterms:modified xsi:type="dcterms:W3CDTF">2026-04-22T16:27:36Z</dcterms:modified>
</cp:coreProperties>
</file>