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49"/>
        <w:pBdr/>
        <w:spacing/>
        <w:ind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</w:r>
      <w:r>
        <w:rPr>
          <w:rFonts w:ascii="Arial" w:hAnsi="Arial" w:cs="Arial"/>
          <w:sz w:val="22"/>
          <w:szCs w:val="24"/>
        </w:rPr>
      </w:r>
    </w:p>
    <w:p>
      <w:pPr>
        <w:pStyle w:val="749"/>
        <w:pBdr/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NOTIFICAÇÃO ESPECIAL </w: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Style w:val="749"/>
        <w:pBdr/>
        <w:spacing/>
        <w:ind/>
        <w:jc w:val="both"/>
        <w:rPr>
          <w:rFonts w:ascii="Arial" w:hAnsi="Arial" w:cs="Arial"/>
          <w:bCs/>
          <w:sz w:val="22"/>
          <w:szCs w:val="24"/>
        </w:rPr>
      </w:pPr>
      <w:r>
        <w:rPr>
          <w:rFonts w:ascii="Arial" w:hAnsi="Arial" w:cs="Arial"/>
          <w:bCs/>
          <w:sz w:val="22"/>
          <w:szCs w:val="24"/>
        </w:rPr>
      </w:r>
      <w:r>
        <w:rPr>
          <w:rFonts w:ascii="Arial" w:hAnsi="Arial" w:cs="Arial"/>
          <w:bCs/>
          <w:sz w:val="22"/>
          <w:szCs w:val="24"/>
        </w:rPr>
      </w:r>
    </w:p>
    <w:p>
      <w:pPr>
        <w:pStyle w:val="749"/>
        <w:pBdr/>
        <w:spacing w:line="276" w:lineRule="auto"/>
        <w:ind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Sr(a)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749"/>
        <w:pBdr/>
        <w:spacing w:line="276" w:lineRule="auto"/>
        <w:ind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(NOME)</w:t>
      </w:r>
      <w:r>
        <w:rPr>
          <w:rFonts w:ascii="Arial" w:hAnsi="Arial" w:cs="Arial"/>
          <w:b/>
          <w:bCs/>
          <w:color w:val="ff0000"/>
          <w:sz w:val="22"/>
          <w:szCs w:val="22"/>
        </w:rPr>
      </w:r>
      <w:r>
        <w:rPr>
          <w:rFonts w:ascii="Arial" w:hAnsi="Arial" w:cs="Arial"/>
          <w:b/>
          <w:bCs/>
          <w:color w:val="ff0000"/>
          <w:sz w:val="22"/>
          <w:szCs w:val="22"/>
        </w:rPr>
      </w:r>
    </w:p>
    <w:p>
      <w:pPr>
        <w:pStyle w:val="749"/>
        <w:pBdr/>
        <w:spacing w:line="276" w:lineRule="auto"/>
        <w:ind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color w:val="ff0000"/>
          <w:sz w:val="20"/>
        </w:rPr>
        <w:t xml:space="preserve">(Local de Lotação do servidor da UFG ou curso do discente)</w:t>
      </w:r>
      <w:r>
        <w:rPr>
          <w:rFonts w:ascii="Arial" w:hAnsi="Arial" w:cs="Arial"/>
          <w:bCs/>
          <w:sz w:val="20"/>
        </w:rPr>
      </w:r>
      <w:r>
        <w:rPr>
          <w:rFonts w:ascii="Arial" w:hAnsi="Arial" w:cs="Arial"/>
          <w:bCs/>
          <w:sz w:val="20"/>
        </w:rPr>
      </w:r>
    </w:p>
    <w:p>
      <w:pPr>
        <w:pStyle w:val="749"/>
        <w:pBdr/>
        <w:spacing/>
        <w:ind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</w:r>
      <w:r>
        <w:rPr>
          <w:rFonts w:ascii="Arial" w:hAnsi="Arial" w:cs="Arial"/>
          <w:bCs/>
          <w:sz w:val="20"/>
        </w:rPr>
      </w:r>
    </w:p>
    <w:p>
      <w:pPr>
        <w:pStyle w:val="749"/>
        <w:pBdr/>
        <w:spacing/>
        <w:ind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</w:r>
      <w:r>
        <w:rPr>
          <w:rFonts w:ascii="Arial" w:hAnsi="Arial" w:cs="Arial"/>
          <w:bCs/>
          <w:sz w:val="20"/>
        </w:rPr>
      </w:r>
    </w:p>
    <w:p>
      <w:pPr>
        <w:pStyle w:val="749"/>
        <w:pBdr/>
        <w:spacing w:before="120" w:line="276" w:lineRule="auto"/>
        <w:ind w:firstLine="1701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0000"/>
          <w:sz w:val="22"/>
          <w:szCs w:val="22"/>
        </w:rPr>
        <w:t xml:space="preserve">Na condição de Presidente da Comissão d</w:t>
      </w:r>
      <w:r>
        <w:rPr>
          <w:rFonts w:ascii="Arial" w:hAnsi="Arial" w:cs="Arial"/>
          <w:sz w:val="22"/>
          <w:szCs w:val="22"/>
        </w:rPr>
        <w:t xml:space="preserve">e Processo Administrativo Disciplinar (PAD), </w:t>
      </w:r>
      <w:r>
        <w:rPr>
          <w:rFonts w:ascii="Arial" w:hAnsi="Arial" w:cs="Arial"/>
          <w:color w:val="000000"/>
          <w:sz w:val="22"/>
          <w:szCs w:val="22"/>
        </w:rPr>
        <w:t xml:space="preserve">designado por meio da Portaria nº </w:t>
      </w:r>
      <w:r>
        <w:rPr>
          <w:rFonts w:ascii="Arial" w:hAnsi="Arial" w:cs="Arial"/>
          <w:color w:val="ff0000"/>
          <w:sz w:val="22"/>
          <w:szCs w:val="22"/>
        </w:rPr>
        <w:t xml:space="preserve">XXXX</w:t>
      </w:r>
      <w:r>
        <w:rPr>
          <w:rFonts w:ascii="Arial" w:hAnsi="Arial" w:cs="Arial"/>
          <w:color w:val="000000"/>
          <w:sz w:val="22"/>
          <w:szCs w:val="22"/>
        </w:rPr>
        <w:t xml:space="preserve">, de </w:t>
      </w:r>
      <w:r>
        <w:rPr>
          <w:rFonts w:ascii="Arial" w:hAnsi="Arial" w:cs="Arial"/>
          <w:color w:val="ff0000"/>
          <w:sz w:val="22"/>
          <w:szCs w:val="22"/>
        </w:rPr>
        <w:t xml:space="preserve">XX(dia) de XX(mês) </w:t>
      </w:r>
      <w:r>
        <w:rPr>
          <w:rFonts w:ascii="Arial" w:hAnsi="Arial" w:cs="Arial"/>
          <w:sz w:val="22"/>
          <w:szCs w:val="22"/>
        </w:rPr>
        <w:t xml:space="preserve">de 20</w:t>
      </w:r>
      <w:r>
        <w:rPr>
          <w:rFonts w:ascii="Arial" w:hAnsi="Arial" w:cs="Arial"/>
          <w:color w:val="ff0000"/>
          <w:sz w:val="22"/>
          <w:szCs w:val="22"/>
        </w:rPr>
        <w:t xml:space="preserve">23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publicada no Boletim de Serviço Eletrônico em </w:t>
      </w:r>
      <w:r>
        <w:rPr>
          <w:rFonts w:ascii="Arial" w:hAnsi="Arial" w:cs="Arial"/>
          <w:color w:val="ff0000"/>
          <w:sz w:val="22"/>
          <w:szCs w:val="22"/>
        </w:rPr>
        <w:t xml:space="preserve">XX/XX/</w:t>
      </w:r>
      <w:r>
        <w:rPr>
          <w:rFonts w:ascii="Arial" w:hAnsi="Arial" w:cs="Arial"/>
          <w:sz w:val="22"/>
          <w:szCs w:val="22"/>
        </w:rPr>
        <w:t xml:space="preserve">20</w:t>
      </w:r>
      <w:r>
        <w:rPr>
          <w:rFonts w:ascii="Arial" w:hAnsi="Arial" w:cs="Arial"/>
          <w:color w:val="ff0000"/>
          <w:sz w:val="22"/>
          <w:szCs w:val="22"/>
        </w:rPr>
        <w:t xml:space="preserve">23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 xml:space="preserve">COMUNICO</w:t>
      </w:r>
      <w:r>
        <w:rPr>
          <w:rFonts w:ascii="Arial" w:hAnsi="Arial" w:cs="Arial"/>
          <w:sz w:val="22"/>
          <w:szCs w:val="22"/>
        </w:rPr>
        <w:t xml:space="preserve"> a instauração do PAD nº </w:t>
      </w:r>
      <w:r>
        <w:rPr>
          <w:rFonts w:ascii="Arial" w:hAnsi="Arial" w:cs="Arial"/>
          <w:color w:val="ff0000"/>
          <w:sz w:val="22"/>
          <w:szCs w:val="22"/>
        </w:rPr>
        <w:t xml:space="preserve">23070.00XXXX/20XX-XX</w:t>
      </w:r>
      <w:r>
        <w:rPr>
          <w:rFonts w:ascii="Arial" w:hAnsi="Arial" w:cs="Arial"/>
          <w:sz w:val="22"/>
          <w:szCs w:val="22"/>
        </w:rPr>
        <w:t xml:space="preserve">, referente à denúncia formalizada sobre possível </w:t>
      </w:r>
      <w:r>
        <w:rPr>
          <w:rFonts w:ascii="Arial" w:hAnsi="Arial" w:cs="Arial"/>
          <w:color w:val="ff0000"/>
          <w:sz w:val="24"/>
          <w:szCs w:val="24"/>
        </w:rPr>
        <w:t xml:space="preserve">(relato sucinto do fato/objeto do processo)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color w:val="ff0000"/>
          <w:sz w:val="24"/>
          <w:szCs w:val="24"/>
        </w:rPr>
      </w:r>
      <w:r>
        <w:rPr>
          <w:rFonts w:ascii="Arial" w:hAnsi="Arial" w:cs="Arial"/>
          <w:color w:val="ff0000"/>
          <w:sz w:val="24"/>
          <w:szCs w:val="24"/>
        </w:rPr>
      </w:r>
    </w:p>
    <w:p>
      <w:pPr>
        <w:pStyle w:val="749"/>
        <w:pBdr/>
        <w:spacing w:before="120" w:line="276" w:lineRule="auto"/>
        <w:ind w:firstLine="17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Para dar continuidade à apuração dos fatos descritos nos autos e a fim de resguardar a dignidade constitucionalmente assegurada às vítimas e às testemunhas de ofensa moral, violência sexual e/ou discriminação, no que tange à sessão para prestar depoimento </w:t>
      </w:r>
      <w:r>
        <w:rPr>
          <w:rFonts w:ascii="Arial" w:hAnsi="Arial" w:cs="Arial"/>
          <w:sz w:val="22"/>
          <w:szCs w:val="22"/>
        </w:rPr>
        <w:t xml:space="preserve">junto à comissão processante, </w:t>
      </w:r>
      <w:r>
        <w:rPr>
          <w:rFonts w:ascii="Arial" w:hAnsi="Arial" w:cs="Arial"/>
          <w:b/>
          <w:sz w:val="22"/>
          <w:szCs w:val="22"/>
        </w:rPr>
        <w:t xml:space="preserve">NOTIFICO</w:t>
      </w:r>
      <w:r>
        <w:rPr>
          <w:rFonts w:ascii="Arial" w:hAnsi="Arial" w:cs="Arial"/>
          <w:sz w:val="22"/>
          <w:szCs w:val="22"/>
        </w:rPr>
        <w:t xml:space="preserve"> o(a) Sr(a) para manifestar-se sobre: 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749"/>
        <w:numPr>
          <w:ilvl w:val="0"/>
          <w:numId w:val="1"/>
        </w:numPr>
        <w:pBdr/>
        <w:tabs>
          <w:tab w:val="clear" w:leader="none" w:pos="425"/>
        </w:tabs>
        <w:spacing w:before="120" w:line="276" w:lineRule="auto"/>
        <w:ind w:left="16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necessidade de acompanhamento por profissional especializado (psicólogo ou assistente social) durante a </w:t>
      </w:r>
      <w:r>
        <w:rPr>
          <w:rFonts w:ascii="Arial" w:hAnsi="Arial" w:cs="Arial"/>
          <w:sz w:val="22"/>
          <w:szCs w:val="22"/>
        </w:rPr>
        <w:t xml:space="preserve">sua </w:t>
      </w:r>
      <w:r>
        <w:rPr>
          <w:rFonts w:ascii="Arial" w:hAnsi="Arial" w:cs="Arial"/>
          <w:sz w:val="22"/>
          <w:szCs w:val="22"/>
        </w:rPr>
        <w:t xml:space="preserve">sessão de oitiva, conforme previsão legal</w:t>
      </w:r>
      <w:r>
        <w:rPr>
          <w:rFonts w:ascii="Arial" w:hAnsi="Arial" w:cs="Arial"/>
          <w:sz w:val="22"/>
          <w:szCs w:val="22"/>
        </w:rPr>
        <w:t xml:space="preserve"> na Lei nº 13.431 de 2017, neste caso aplicada por analogia</w:t>
      </w:r>
      <w:r>
        <w:rPr>
          <w:rFonts w:ascii="Arial" w:hAnsi="Arial" w:cs="Arial"/>
          <w:sz w:val="22"/>
          <w:szCs w:val="22"/>
        </w:rPr>
        <w:t xml:space="preserve">;</w:t>
      </w:r>
      <w:r>
        <w:rPr>
          <w:rFonts w:ascii="Arial" w:hAnsi="Arial" w:cs="Arial"/>
          <w:sz w:val="22"/>
          <w:szCs w:val="22"/>
        </w:rPr>
        <w:t xml:space="preserve"> e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749"/>
        <w:numPr>
          <w:ilvl w:val="0"/>
          <w:numId w:val="1"/>
        </w:numPr>
        <w:pBdr/>
        <w:tabs>
          <w:tab w:val="clear" w:leader="none" w:pos="425"/>
        </w:tabs>
        <w:spacing w:before="120" w:line="276" w:lineRule="auto"/>
        <w:ind w:left="16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aceitação ou recusa da presença física do acusado durante a </w:t>
      </w:r>
      <w:r>
        <w:rPr>
          <w:rFonts w:ascii="Arial" w:hAnsi="Arial" w:cs="Arial"/>
          <w:sz w:val="22"/>
          <w:szCs w:val="22"/>
        </w:rPr>
        <w:t xml:space="preserve">sua </w:t>
      </w:r>
      <w:r>
        <w:rPr>
          <w:rFonts w:ascii="Arial" w:hAnsi="Arial" w:cs="Arial"/>
          <w:sz w:val="22"/>
          <w:szCs w:val="22"/>
        </w:rPr>
        <w:t xml:space="preserve">oitiva presencial. Em caso de oitiva virtual</w:t>
      </w:r>
      <w:r>
        <w:rPr>
          <w:rFonts w:ascii="Arial" w:hAnsi="Arial" w:cs="Arial"/>
          <w:sz w:val="22"/>
          <w:szCs w:val="22"/>
        </w:rPr>
        <w:t xml:space="preserve">,</w:t>
      </w:r>
      <w:r>
        <w:rPr>
          <w:rFonts w:ascii="Arial" w:hAnsi="Arial" w:cs="Arial"/>
          <w:sz w:val="22"/>
          <w:szCs w:val="22"/>
        </w:rPr>
        <w:t xml:space="preserve"> informar se deseja que o acusado mantenha sua câmera desligada durante seu depoim</w:t>
      </w:r>
      <w:r>
        <w:rPr>
          <w:rFonts w:ascii="Arial" w:hAnsi="Arial" w:cs="Arial"/>
          <w:sz w:val="22"/>
          <w:szCs w:val="22"/>
        </w:rPr>
        <w:t xml:space="preserve">ento.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749"/>
        <w:pBdr/>
        <w:spacing w:before="120" w:line="276" w:lineRule="auto"/>
        <w:ind w:firstLine="17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Informamos que acompanhamento de profissional especializado ocorrerá de forma obrigatória </w:t>
      </w:r>
      <w:r>
        <w:rPr>
          <w:rFonts w:ascii="Arial" w:hAnsi="Arial" w:cs="Arial"/>
          <w:sz w:val="22"/>
          <w:szCs w:val="22"/>
        </w:rPr>
        <w:t xml:space="preserve">para </w:t>
      </w:r>
      <w:r>
        <w:rPr>
          <w:rFonts w:ascii="Arial" w:hAnsi="Arial" w:cs="Arial"/>
          <w:sz w:val="22"/>
          <w:szCs w:val="22"/>
        </w:rPr>
        <w:t xml:space="preserve">vítima ou testemunha menor de idade, além da necessária assistência/representação de seu representante legal, </w:t>
      </w:r>
      <w:r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z w:val="22"/>
          <w:szCs w:val="22"/>
        </w:rPr>
        <w:t xml:space="preserve">a oitiva (depoimento especial) </w:t>
      </w:r>
      <w:r>
        <w:rPr>
          <w:rFonts w:ascii="Arial" w:hAnsi="Arial" w:cs="Arial"/>
          <w:sz w:val="22"/>
          <w:szCs w:val="22"/>
        </w:rPr>
        <w:t xml:space="preserve">será </w:t>
      </w:r>
      <w:r>
        <w:rPr>
          <w:rFonts w:ascii="Arial" w:hAnsi="Arial" w:cs="Arial"/>
          <w:sz w:val="22"/>
          <w:szCs w:val="22"/>
        </w:rPr>
        <w:t xml:space="preserve">realiza</w:t>
      </w:r>
      <w:r>
        <w:rPr>
          <w:rFonts w:ascii="Arial" w:hAnsi="Arial" w:cs="Arial"/>
          <w:sz w:val="22"/>
          <w:szCs w:val="22"/>
        </w:rPr>
        <w:t xml:space="preserve">da sem a presença do acusado, observando o art. 7º e seguintes da Lei nº 13.341</w:t>
      </w:r>
      <w:r>
        <w:rPr>
          <w:rFonts w:ascii="Arial" w:hAnsi="Arial" w:cs="Arial"/>
          <w:sz w:val="22"/>
          <w:szCs w:val="22"/>
        </w:rPr>
        <w:t xml:space="preserve">/</w:t>
      </w:r>
      <w:r>
        <w:rPr>
          <w:rFonts w:ascii="Arial" w:hAnsi="Arial" w:cs="Arial"/>
          <w:sz w:val="22"/>
          <w:szCs w:val="22"/>
        </w:rPr>
        <w:t xml:space="preserve">2017.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749"/>
        <w:pBdr/>
        <w:spacing w:before="120" w:line="276" w:lineRule="auto"/>
        <w:ind w:firstLine="170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vítima ou testemunha poderá obter informações, tirar dúvidas sobre o procedimento de oitiva ou ainda sobre o fluxo de tramitação processual junto à CDPA. Ressaltamos qu</w:t>
      </w:r>
      <w:r>
        <w:rPr>
          <w:rFonts w:ascii="Arial" w:hAnsi="Arial" w:cs="Arial"/>
          <w:sz w:val="22"/>
          <w:szCs w:val="22"/>
        </w:rPr>
        <w:t xml:space="preserve">e há informações de caráter público disponíveis através do </w:t>
      </w:r>
      <w:r>
        <w:fldChar w:fldCharType="begin"/>
      </w:r>
      <w:r>
        <w:instrText xml:space="preserve"> HYPERLINK "https://repositorio.cgu.gov.br/bitstream/1/16385/1/Guia_prevenção_assedio_discriminação.pdf" </w:instrText>
      </w:r>
      <w:r>
        <w:fldChar w:fldCharType="separate"/>
      </w:r>
      <w:r>
        <w:rPr>
          <w:rStyle w:val="757"/>
          <w:rFonts w:ascii="Arial" w:hAnsi="Arial" w:cs="Arial"/>
          <w:sz w:val="22"/>
          <w:szCs w:val="22"/>
        </w:rPr>
        <w:t xml:space="preserve">“GUIA LILÁS: </w:t>
      </w:r>
      <w:r>
        <w:rPr>
          <w:rStyle w:val="757"/>
          <w:rFonts w:ascii="Arial" w:hAnsi="Arial"/>
          <w:sz w:val="22"/>
          <w:szCs w:val="22"/>
        </w:rPr>
        <w:t xml:space="preserve">Orientações para prevenção e tratamento ao assédio moral e sexual e à discrimin</w:t>
      </w:r>
      <w:r>
        <w:rPr>
          <w:rStyle w:val="757"/>
          <w:rFonts w:ascii="Arial" w:hAnsi="Arial"/>
          <w:sz w:val="22"/>
          <w:szCs w:val="22"/>
        </w:rPr>
        <w:t xml:space="preserve">ação no Governo Federal”</w:t>
      </w:r>
      <w:r>
        <w:rPr>
          <w:rStyle w:val="757"/>
          <w:rFonts w:ascii="Arial" w:hAnsi="Arial"/>
          <w:sz w:val="22"/>
          <w:szCs w:val="22"/>
        </w:rPr>
        <w:fldChar w:fldCharType="end"/>
      </w:r>
      <w:r>
        <w:rPr>
          <w:rFonts w:ascii="Arial" w:hAnsi="Arial"/>
          <w:sz w:val="22"/>
          <w:szCs w:val="22"/>
        </w:rPr>
        <w:t xml:space="preserve"> e da Cartilha</w:t>
      </w:r>
      <w:r>
        <w:rPr>
          <w:rFonts w:ascii="Arial" w:hAnsi="Arial"/>
          <w:sz w:val="22"/>
          <w:szCs w:val="22"/>
        </w:rPr>
        <w:t xml:space="preserve"> de</w:t>
      </w:r>
      <w:r>
        <w:rPr>
          <w:rFonts w:ascii="Arial" w:hAnsi="Arial"/>
          <w:sz w:val="22"/>
          <w:szCs w:val="22"/>
        </w:rPr>
        <w:t xml:space="preserve"> </w:t>
      </w:r>
      <w:r>
        <w:fldChar w:fldCharType="begin"/>
      </w:r>
      <w:r>
        <w:instrText xml:space="preserve"> HYPERLINK "https://repositorio.cgu.gov.br/handle/1/65920" </w:instrText>
      </w:r>
      <w:r>
        <w:fldChar w:fldCharType="separate"/>
      </w:r>
      <w:r>
        <w:rPr>
          <w:rStyle w:val="757"/>
          <w:rFonts w:ascii="Arial" w:hAnsi="Arial"/>
          <w:sz w:val="22"/>
          <w:szCs w:val="22"/>
        </w:rPr>
        <w:t xml:space="preserve">“Apuração de assédio sexual na esfera correcional”</w:t>
      </w:r>
      <w:r>
        <w:rPr>
          <w:rStyle w:val="757"/>
          <w:rFonts w:ascii="Arial" w:hAnsi="Arial"/>
          <w:sz w:val="22"/>
          <w:szCs w:val="22"/>
        </w:rPr>
        <w:fldChar w:fldCharType="end"/>
      </w:r>
      <w:r>
        <w:rPr>
          <w:rFonts w:ascii="Arial" w:hAnsi="Arial"/>
          <w:sz w:val="22"/>
          <w:szCs w:val="22"/>
        </w:rPr>
        <w:t xml:space="preserve">, ambos documentos elaborados pela Controladoria Geral da União (CGU).</w: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</w:r>
    </w:p>
    <w:p>
      <w:pPr>
        <w:pStyle w:val="749"/>
        <w:pBdr/>
        <w:spacing w:before="120" w:line="276" w:lineRule="auto"/>
        <w:ind w:firstLine="17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manifestação deverá ser apresentada ao endereço eletrônico </w:t>
      </w:r>
      <w:r>
        <w:fldChar w:fldCharType="begin"/>
      </w:r>
      <w:r>
        <w:instrText xml:space="preserve"> HYPERLINK "mailto:cdpa@ufg.br" </w:instrText>
      </w:r>
      <w:r>
        <w:fldChar w:fldCharType="separate"/>
      </w:r>
      <w:r>
        <w:rPr>
          <w:rStyle w:val="758"/>
          <w:rFonts w:ascii="Arial" w:hAnsi="Arial" w:cs="Arial"/>
          <w:sz w:val="22"/>
          <w:szCs w:val="22"/>
        </w:rPr>
        <w:t xml:space="preserve">cdpa@ufg.br</w:t>
      </w:r>
      <w:r>
        <w:rPr>
          <w:rStyle w:val="758"/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, indic</w:t>
      </w:r>
      <w:r>
        <w:rPr>
          <w:rFonts w:ascii="Arial" w:hAnsi="Arial" w:cs="Arial"/>
          <w:sz w:val="22"/>
          <w:szCs w:val="22"/>
        </w:rPr>
        <w:t xml:space="preserve">ando o número do processo, no prazo de </w:t>
      </w:r>
      <w:r>
        <w:rPr>
          <w:rFonts w:ascii="Arial" w:hAnsi="Arial" w:cs="Arial"/>
          <w:b/>
          <w:sz w:val="22"/>
          <w:szCs w:val="22"/>
        </w:rPr>
        <w:t xml:space="preserve">5 (cinco) dias</w:t>
      </w:r>
      <w:r>
        <w:rPr>
          <w:rFonts w:ascii="Arial" w:hAnsi="Arial" w:cs="Arial"/>
          <w:sz w:val="22"/>
          <w:szCs w:val="22"/>
        </w:rPr>
        <w:t xml:space="preserve"> corridos contados do dia útil posterior ao recebimento desta.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749"/>
        <w:pBdr/>
        <w:spacing w:before="120" w:line="276" w:lineRule="auto"/>
        <w:ind w:firstLine="170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</w:r>
    </w:p>
    <w:p>
      <w:pPr>
        <w:pStyle w:val="749"/>
        <w:pBdr/>
        <w:spacing/>
        <w:ind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</w:r>
    </w:p>
    <w:p>
      <w:pPr>
        <w:pStyle w:val="749"/>
        <w:pBdr/>
        <w:spacing/>
        <w:ind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</w:r>
    </w:p>
    <w:p>
      <w:pPr>
        <w:pStyle w:val="749"/>
        <w:pBdr/>
        <w:spacing/>
        <w:ind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</w:r>
    </w:p>
    <w:p>
      <w:pPr>
        <w:pStyle w:val="752"/>
        <w:pBdr/>
        <w:spacing/>
        <w:ind w:firstLine="0"/>
        <w:jc w:val="center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____________________________</w:t>
      </w:r>
      <w:r>
        <w:rPr>
          <w:rFonts w:ascii="Arial" w:hAnsi="Arial" w:cs="Arial"/>
          <w:b w:val="0"/>
          <w:sz w:val="20"/>
        </w:rPr>
      </w:r>
      <w:r>
        <w:rPr>
          <w:rFonts w:ascii="Arial" w:hAnsi="Arial" w:cs="Arial"/>
          <w:b w:val="0"/>
          <w:sz w:val="20"/>
        </w:rPr>
      </w:r>
    </w:p>
    <w:p>
      <w:pPr>
        <w:pStyle w:val="749"/>
        <w:pBdr/>
        <w:spacing w:before="80"/>
        <w:ind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Nome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>
      <w:pPr>
        <w:pStyle w:val="749"/>
        <w:pBdr/>
        <w:spacing/>
        <w:ind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Presidente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sectPr>
      <w:headerReference w:type="default" r:id="rId9"/>
      <w:footerReference w:type="default" r:id="rId10"/>
      <w:footnotePr/>
      <w:endnotePr>
        <w:numFmt w:val="decimal"/>
      </w:endnotePr>
      <w:type w:val="continuous"/>
      <w:pgSz w:h="16840" w:orient="portrait" w:w="11907"/>
      <w:pgMar w:top="907" w:right="1418" w:bottom="1134" w:left="1985" w:header="680" w:footer="686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Garamond">
    <w:panose1 w:val="02020404030301010803"/>
  </w:font>
  <w:font w:name="Lucida Handwriting">
    <w:panose1 w:val="03010101010101010101"/>
  </w:font>
  <w:font w:name="Arial">
    <w:panose1 w:val="020B0604020202020204"/>
  </w:font>
  <w:font w:name="Humanist521BT-Roman">
    <w:panose1 w:val="05040102010807070707"/>
  </w:font>
  <w:font w:name="SimSun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2"/>
      <w:pBdr>
        <w:top w:val="single" w:color="000000" w:sz="4" w:space="1"/>
      </w:pBdr>
      <w:spacing w:before="240"/>
      <w:ind/>
      <w:jc w:val="center"/>
      <w:rPr>
        <w:rFonts w:ascii="Tahoma" w:hAnsi="Tahoma" w:cs="Tahoma"/>
        <w:smallCaps/>
        <w:sz w:val="20"/>
      </w:rPr>
    </w:pPr>
    <w:r>
      <w:rPr>
        <w:rFonts w:ascii="Tahoma" w:hAnsi="Tahoma" w:cs="Tahoma"/>
        <w:smallCaps/>
        <w:sz w:val="20"/>
      </w:rPr>
      <w:t xml:space="preserve">Coordenação de Processos Administrativos – CDPA</w:t>
    </w:r>
    <w:r>
      <w:rPr>
        <w:rFonts w:ascii="Tahoma" w:hAnsi="Tahoma" w:cs="Tahoma"/>
        <w:smallCaps/>
        <w:sz w:val="20"/>
      </w:rPr>
    </w:r>
    <w:r>
      <w:rPr>
        <w:rFonts w:ascii="Tahoma" w:hAnsi="Tahoma" w:cs="Tahoma"/>
        <w:smallCaps/>
        <w:sz w:val="20"/>
      </w:rPr>
    </w:r>
  </w:p>
  <w:p>
    <w:pPr>
      <w:pStyle w:val="762"/>
      <w:pBdr>
        <w:top w:val="single" w:color="000000" w:sz="4" w:space="1"/>
      </w:pBdr>
      <w:spacing/>
      <w:ind/>
      <w:jc w:val="center"/>
      <w:rPr>
        <w:rFonts w:ascii="Tahoma" w:hAnsi="Tahoma" w:cs="Tahoma"/>
        <w:sz w:val="18"/>
      </w:rPr>
    </w:pPr>
    <w:r>
      <w:rPr>
        <w:rFonts w:ascii="Tahoma" w:hAnsi="Tahoma" w:cs="Tahoma"/>
        <w:sz w:val="18"/>
      </w:rPr>
      <w:t xml:space="preserve">Av. Universitária, nº 1.593, 1º Andar – Prédio do SEINFRA – Setor Leste Universitário – Goiânia-GO</w:t>
    </w:r>
    <w:r>
      <w:rPr>
        <w:rFonts w:ascii="Tahoma" w:hAnsi="Tahoma" w:cs="Tahoma"/>
        <w:sz w:val="18"/>
      </w:rPr>
    </w:r>
    <w:r>
      <w:rPr>
        <w:rFonts w:ascii="Tahoma" w:hAnsi="Tahoma" w:cs="Tahoma"/>
        <w:sz w:val="18"/>
      </w:rPr>
    </w:r>
  </w:p>
  <w:p>
    <w:pPr>
      <w:pStyle w:val="762"/>
      <w:pBdr>
        <w:top w:val="single" w:color="000000" w:sz="4" w:space="1"/>
      </w:pBdr>
      <w:spacing/>
      <w:ind/>
      <w:jc w:val="center"/>
      <w:rPr>
        <w:rFonts w:ascii="Arial" w:hAnsi="Arial" w:cs="Arial"/>
        <w:szCs w:val="22"/>
      </w:rPr>
    </w:pPr>
    <w:r>
      <w:rPr>
        <w:rFonts w:ascii="Tahoma" w:hAnsi="Tahoma" w:cs="Tahoma"/>
        <w:sz w:val="20"/>
      </w:rPr>
      <w:t xml:space="preserve">Fones: 3209-6131 / 3209-6132 / 3209-6245 / 3209-6312    Sítio/Web: </w:t>
    </w:r>
    <w:r>
      <w:rPr>
        <w:rFonts w:ascii="Tahoma" w:hAnsi="Tahoma" w:cs="Tahoma"/>
        <w:b/>
        <w:i/>
        <w:sz w:val="20"/>
      </w:rPr>
      <w:t xml:space="preserve">www.cdpa.ufg.br</w:t>
    </w:r>
    <w:r>
      <w:rPr>
        <w:rFonts w:ascii="Arial" w:hAnsi="Arial" w:cs="Arial"/>
        <w:szCs w:val="22"/>
      </w:rPr>
    </w:r>
    <w:r>
      <w:rPr>
        <w:rFonts w:ascii="Arial" w:hAnsi="Arial" w:cs="Arial"/>
        <w:szCs w:val="2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1"/>
      <w:pBdr/>
      <w:spacing/>
      <w:ind/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mc:AlternateContent>
        <mc:Choice Requires="wpg">
          <w:drawing>
            <wp:inline xmlns:wp="http://schemas.openxmlformats.org/drawingml/2006/wordprocessingDrawing" distT="0" distB="0" distL="0" distR="0">
              <wp:extent cx="524398" cy="54038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brasao_da_republica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524398" cy="5403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1.29pt;height:42.5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Tahoma" w:hAnsi="Tahoma" w:cs="Tahoma"/>
        <w:sz w:val="22"/>
        <w:szCs w:val="22"/>
      </w:rPr>
    </w:r>
    <w:r>
      <w:rPr>
        <w:rFonts w:ascii="Tahoma" w:hAnsi="Tahoma" w:cs="Tahoma"/>
        <w:sz w:val="22"/>
        <w:szCs w:val="22"/>
      </w:rPr>
    </w:r>
  </w:p>
  <w:p>
    <w:pPr>
      <w:pStyle w:val="761"/>
      <w:pBdr>
        <w:bottom w:val="single" w:color="000000" w:sz="4" w:space="1"/>
      </w:pBdr>
      <w:spacing/>
      <w:ind/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UNIVERSIDADE FEDERAL DE GOIÁS</w:t>
    </w:r>
    <w:r>
      <w:rPr>
        <w:rFonts w:ascii="Tahoma" w:hAnsi="Tahoma" w:cs="Tahoma"/>
        <w:sz w:val="22"/>
        <w:szCs w:val="22"/>
      </w:rPr>
    </w:r>
    <w:r>
      <w:rPr>
        <w:rFonts w:ascii="Tahoma" w:hAnsi="Tahoma" w:cs="Tahoma"/>
        <w:sz w:val="22"/>
        <w:szCs w:val="22"/>
      </w:rPr>
    </w:r>
  </w:p>
  <w:p>
    <w:pPr>
      <w:pStyle w:val="761"/>
      <w:pBdr>
        <w:bottom w:val="single" w:color="000000" w:sz="4" w:space="1"/>
      </w:pBdr>
      <w:spacing/>
      <w:ind/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COORDENAÇÃO DE PROCESSOS </w:t>
    </w:r>
    <w:r>
      <w:rPr>
        <w:rFonts w:ascii="Tahoma" w:hAnsi="Tahoma" w:cs="Tahoma"/>
        <w:sz w:val="22"/>
        <w:szCs w:val="22"/>
      </w:rPr>
      <w:t xml:space="preserve">ADMINISTRATIVOS</w:t>
    </w:r>
    <w:r>
      <w:rPr>
        <w:rFonts w:ascii="Tahoma" w:hAnsi="Tahoma" w:cs="Tahoma"/>
        <w:sz w:val="22"/>
        <w:szCs w:val="22"/>
      </w:rPr>
    </w:r>
    <w:r>
      <w:rPr>
        <w:rFonts w:ascii="Tahoma" w:hAnsi="Tahoma" w:cs="Tahoma"/>
        <w:sz w:val="22"/>
        <w:szCs w:val="22"/>
      </w:rPr>
    </w:r>
  </w:p>
  <w:p>
    <w:pPr>
      <w:pStyle w:val="761"/>
      <w:pBdr>
        <w:bottom w:val="single" w:color="000000" w:sz="4" w:space="1"/>
      </w:pBdr>
      <w:spacing w:after="120"/>
      <w:ind/>
      <w:jc w:val="center"/>
      <w:rPr>
        <w:rFonts w:ascii="Tahoma" w:hAnsi="Tahoma" w:cs="Tahoma"/>
        <w:sz w:val="20"/>
        <w:szCs w:val="22"/>
      </w:rPr>
    </w:pPr>
    <w:r>
      <w:rPr>
        <w:rFonts w:ascii="Tahoma" w:hAnsi="Tahoma" w:cs="Tahoma"/>
        <w:b/>
        <w:smallCaps/>
        <w:sz w:val="20"/>
        <w:szCs w:val="22"/>
      </w:rPr>
      <w:t xml:space="preserve">Processo Administrativo Disciplinar</w:t>
    </w:r>
    <w:r>
      <w:rPr>
        <w:rFonts w:ascii="Tahoma" w:hAnsi="Tahoma" w:cs="Tahoma"/>
        <w:sz w:val="20"/>
        <w:szCs w:val="22"/>
      </w:rPr>
      <w:t xml:space="preserve"> nº 23070.00</w:t>
    </w:r>
    <w:r>
      <w:rPr>
        <w:rFonts w:ascii="Tahoma" w:hAnsi="Tahoma" w:cs="Tahoma"/>
        <w:color w:val="ff0000"/>
        <w:sz w:val="20"/>
        <w:szCs w:val="22"/>
      </w:rPr>
      <w:t xml:space="preserve">XXXX</w:t>
    </w:r>
    <w:r>
      <w:rPr>
        <w:rFonts w:ascii="Tahoma" w:hAnsi="Tahoma" w:cs="Tahoma"/>
        <w:sz w:val="20"/>
        <w:szCs w:val="22"/>
      </w:rPr>
      <w:t xml:space="preserve">/20</w:t>
    </w:r>
    <w:r>
      <w:rPr>
        <w:rFonts w:ascii="Tahoma" w:hAnsi="Tahoma" w:cs="Tahoma"/>
        <w:color w:val="ff0000"/>
        <w:sz w:val="20"/>
        <w:szCs w:val="22"/>
      </w:rPr>
      <w:t xml:space="preserve">XX</w:t>
    </w:r>
    <w:r>
      <w:rPr>
        <w:rFonts w:ascii="Tahoma" w:hAnsi="Tahoma" w:cs="Tahoma"/>
        <w:sz w:val="20"/>
        <w:szCs w:val="22"/>
      </w:rPr>
      <w:t xml:space="preserve">-</w:t>
    </w:r>
    <w:r>
      <w:rPr>
        <w:rFonts w:ascii="Tahoma" w:hAnsi="Tahoma" w:cs="Tahoma"/>
        <w:color w:val="ff0000"/>
        <w:sz w:val="20"/>
        <w:szCs w:val="22"/>
      </w:rPr>
      <w:t xml:space="preserve">XX</w:t>
    </w:r>
    <w:r>
      <w:rPr>
        <w:rFonts w:ascii="Tahoma" w:hAnsi="Tahoma" w:cs="Tahoma"/>
        <w:sz w:val="20"/>
        <w:szCs w:val="22"/>
      </w:rPr>
    </w:r>
    <w:r>
      <w:rPr>
        <w:rFonts w:ascii="Tahoma" w:hAnsi="Tahoma" w:cs="Tahoma"/>
        <w:sz w:val="20"/>
        <w:szCs w:val="2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0313E"/>
    <w:lvl w:ilvl="0">
      <w:isLgl w:val="false"/>
      <w:lvlJc w:val="left"/>
      <w:lvlText w:val="%1."/>
      <w:numFmt w:val="decimal"/>
      <w:pPr>
        <w:pBdr/>
        <w:tabs>
          <w:tab w:val="left" w:leader="none" w:pos="425"/>
        </w:tabs>
        <w:spacing/>
        <w:ind w:hanging="425" w:left="425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doNotExpandShiftReturn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49"/>
    <w:next w:val="749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49"/>
    <w:next w:val="74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49"/>
    <w:next w:val="749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49"/>
    <w:next w:val="74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49"/>
    <w:next w:val="749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49"/>
    <w:next w:val="74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49"/>
    <w:next w:val="749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49"/>
    <w:next w:val="749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49"/>
    <w:next w:val="749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49"/>
    <w:next w:val="749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49"/>
    <w:next w:val="749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49"/>
    <w:next w:val="749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49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49"/>
    <w:next w:val="749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49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49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49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49"/>
    <w:next w:val="74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49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49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49"/>
    <w:next w:val="749"/>
    <w:uiPriority w:val="39"/>
    <w:unhideWhenUsed/>
    <w:pPr>
      <w:pBdr/>
      <w:spacing w:after="100"/>
      <w:ind/>
    </w:pPr>
  </w:style>
  <w:style w:type="paragraph" w:styleId="190">
    <w:name w:val="toc 2"/>
    <w:basedOn w:val="749"/>
    <w:next w:val="749"/>
    <w:uiPriority w:val="39"/>
    <w:unhideWhenUsed/>
    <w:pPr>
      <w:pBdr/>
      <w:spacing w:after="100"/>
      <w:ind w:left="220"/>
    </w:pPr>
  </w:style>
  <w:style w:type="paragraph" w:styleId="191">
    <w:name w:val="toc 3"/>
    <w:basedOn w:val="749"/>
    <w:next w:val="749"/>
    <w:uiPriority w:val="39"/>
    <w:unhideWhenUsed/>
    <w:pPr>
      <w:pBdr/>
      <w:spacing w:after="100"/>
      <w:ind w:left="440"/>
    </w:pPr>
  </w:style>
  <w:style w:type="paragraph" w:styleId="192">
    <w:name w:val="toc 4"/>
    <w:basedOn w:val="749"/>
    <w:next w:val="749"/>
    <w:uiPriority w:val="39"/>
    <w:unhideWhenUsed/>
    <w:pPr>
      <w:pBdr/>
      <w:spacing w:after="100"/>
      <w:ind w:left="660"/>
    </w:pPr>
  </w:style>
  <w:style w:type="paragraph" w:styleId="193">
    <w:name w:val="toc 5"/>
    <w:basedOn w:val="749"/>
    <w:next w:val="749"/>
    <w:uiPriority w:val="39"/>
    <w:unhideWhenUsed/>
    <w:pPr>
      <w:pBdr/>
      <w:spacing w:after="100"/>
      <w:ind w:left="880"/>
    </w:pPr>
  </w:style>
  <w:style w:type="paragraph" w:styleId="194">
    <w:name w:val="toc 6"/>
    <w:basedOn w:val="749"/>
    <w:next w:val="749"/>
    <w:uiPriority w:val="39"/>
    <w:unhideWhenUsed/>
    <w:pPr>
      <w:pBdr/>
      <w:spacing w:after="100"/>
      <w:ind w:left="1100"/>
    </w:pPr>
  </w:style>
  <w:style w:type="paragraph" w:styleId="195">
    <w:name w:val="toc 7"/>
    <w:basedOn w:val="749"/>
    <w:next w:val="749"/>
    <w:uiPriority w:val="39"/>
    <w:unhideWhenUsed/>
    <w:pPr>
      <w:pBdr/>
      <w:spacing w:after="100"/>
      <w:ind w:left="1320"/>
    </w:pPr>
  </w:style>
  <w:style w:type="paragraph" w:styleId="196">
    <w:name w:val="toc 8"/>
    <w:basedOn w:val="749"/>
    <w:next w:val="749"/>
    <w:uiPriority w:val="39"/>
    <w:unhideWhenUsed/>
    <w:pPr>
      <w:pBdr/>
      <w:spacing w:after="100"/>
      <w:ind w:left="1540"/>
    </w:pPr>
  </w:style>
  <w:style w:type="paragraph" w:styleId="197">
    <w:name w:val="toc 9"/>
    <w:basedOn w:val="749"/>
    <w:next w:val="74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49"/>
    <w:next w:val="749"/>
    <w:uiPriority w:val="99"/>
    <w:unhideWhenUsed/>
    <w:pPr>
      <w:pBdr/>
      <w:spacing w:after="0" w:afterAutospacing="0"/>
      <w:ind/>
    </w:pPr>
  </w:style>
  <w:style w:type="paragraph" w:styleId="749" w:default="1">
    <w:name w:val="Normal"/>
    <w:next w:val="749"/>
    <w:link w:val="749"/>
    <w:qFormat/>
    <w:pPr>
      <w:pBdr/>
      <w:spacing/>
      <w:ind/>
    </w:pPr>
    <w:rPr>
      <w:rFonts w:ascii="Lucida Handwriting" w:hAnsi="Lucida Handwriting" w:eastAsia="Times New Roman"/>
      <w:sz w:val="28"/>
      <w:lang w:val="pt-BR" w:eastAsia="pt-BR" w:bidi="ar-SA"/>
    </w:rPr>
  </w:style>
  <w:style w:type="paragraph" w:styleId="750">
    <w:name w:val="Título 1"/>
    <w:basedOn w:val="749"/>
    <w:next w:val="749"/>
    <w:link w:val="749"/>
    <w:qFormat/>
    <w:pPr>
      <w:keepNext w:val="true"/>
      <w:pBdr/>
      <w:spacing/>
      <w:ind/>
      <w:jc w:val="center"/>
      <w:outlineLvl w:val="0"/>
    </w:pPr>
    <w:rPr>
      <w:rFonts w:ascii="Garamond" w:hAnsi="Garamond"/>
      <w:b/>
      <w:sz w:val="32"/>
    </w:rPr>
  </w:style>
  <w:style w:type="paragraph" w:styleId="751">
    <w:name w:val="Título 2"/>
    <w:basedOn w:val="749"/>
    <w:next w:val="749"/>
    <w:link w:val="749"/>
    <w:qFormat/>
    <w:pPr>
      <w:keepNext w:val="true"/>
      <w:pBdr/>
      <w:spacing/>
      <w:ind w:firstLine="284"/>
      <w:jc w:val="both"/>
      <w:outlineLvl w:val="1"/>
    </w:pPr>
    <w:rPr>
      <w:rFonts w:ascii="Garamond" w:hAnsi="Garamond"/>
      <w:b/>
      <w:u w:val="single"/>
    </w:rPr>
  </w:style>
  <w:style w:type="paragraph" w:styleId="752">
    <w:name w:val="Título 3"/>
    <w:basedOn w:val="749"/>
    <w:next w:val="749"/>
    <w:link w:val="765"/>
    <w:qFormat/>
    <w:pPr>
      <w:keepNext w:val="true"/>
      <w:pBdr/>
      <w:spacing/>
      <w:ind w:firstLine="567"/>
      <w:jc w:val="both"/>
      <w:outlineLvl w:val="2"/>
    </w:pPr>
    <w:rPr>
      <w:rFonts w:ascii="Garamond" w:hAnsi="Garamond"/>
      <w:b/>
      <w:sz w:val="32"/>
    </w:rPr>
  </w:style>
  <w:style w:type="character" w:styleId="753">
    <w:name w:val="Fonte parág. padrão"/>
    <w:next w:val="753"/>
    <w:link w:val="749"/>
    <w:uiPriority w:val="1"/>
    <w:semiHidden/>
    <w:unhideWhenUsed/>
    <w:pPr>
      <w:pBdr/>
      <w:spacing/>
      <w:ind/>
    </w:pPr>
  </w:style>
  <w:style w:type="table" w:styleId="754">
    <w:name w:val="Tabela normal"/>
    <w:next w:val="754"/>
    <w:link w:val="749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5">
    <w:name w:val="Sem lista"/>
    <w:next w:val="755"/>
    <w:link w:val="749"/>
    <w:uiPriority w:val="99"/>
    <w:semiHidden/>
    <w:unhideWhenUsed/>
    <w:pPr>
      <w:pBdr/>
      <w:spacing/>
      <w:ind/>
    </w:pPr>
  </w:style>
  <w:style w:type="character" w:styleId="756">
    <w:name w:val="Ref. de nota de fim"/>
    <w:next w:val="756"/>
    <w:link w:val="749"/>
    <w:qFormat/>
    <w:pPr>
      <w:pBdr/>
      <w:spacing/>
      <w:ind/>
    </w:pPr>
    <w:rPr>
      <w:vertAlign w:val="superscript"/>
    </w:rPr>
  </w:style>
  <w:style w:type="character" w:styleId="757">
    <w:name w:val="HiperlinkVisitado"/>
    <w:next w:val="757"/>
    <w:link w:val="749"/>
    <w:qFormat/>
    <w:pPr>
      <w:pBdr/>
      <w:spacing/>
      <w:ind/>
    </w:pPr>
    <w:rPr>
      <w:color w:val="800080"/>
      <w:u w:val="single"/>
    </w:rPr>
  </w:style>
  <w:style w:type="character" w:styleId="758">
    <w:name w:val="Hyperlink"/>
    <w:next w:val="758"/>
    <w:link w:val="749"/>
    <w:qFormat/>
    <w:pPr>
      <w:pBdr/>
      <w:spacing/>
      <w:ind/>
    </w:pPr>
    <w:rPr>
      <w:color w:val="0000ff"/>
      <w:u w:val="single"/>
    </w:rPr>
  </w:style>
  <w:style w:type="paragraph" w:styleId="759">
    <w:name w:val="Texto de comentário"/>
    <w:basedOn w:val="749"/>
    <w:next w:val="759"/>
    <w:link w:val="749"/>
    <w:qFormat/>
    <w:pPr>
      <w:pBdr/>
      <w:spacing/>
      <w:ind/>
    </w:pPr>
  </w:style>
  <w:style w:type="paragraph" w:styleId="760">
    <w:name w:val="Texto de nota de fim"/>
    <w:basedOn w:val="749"/>
    <w:next w:val="760"/>
    <w:link w:val="749"/>
    <w:qFormat/>
    <w:pPr>
      <w:pBdr/>
      <w:spacing/>
      <w:ind/>
    </w:pPr>
  </w:style>
  <w:style w:type="paragraph" w:styleId="761">
    <w:name w:val="Cabeçalho"/>
    <w:basedOn w:val="749"/>
    <w:next w:val="761"/>
    <w:link w:val="767"/>
    <w:qFormat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762">
    <w:name w:val="Rodapé"/>
    <w:basedOn w:val="749"/>
    <w:next w:val="762"/>
    <w:link w:val="766"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763">
    <w:name w:val="Texto de balão"/>
    <w:basedOn w:val="749"/>
    <w:next w:val="763"/>
    <w:link w:val="74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764">
    <w:name w:val="Recuo de corpo de texto"/>
    <w:basedOn w:val="749"/>
    <w:next w:val="764"/>
    <w:link w:val="749"/>
    <w:qFormat/>
    <w:pPr>
      <w:pBdr/>
      <w:spacing/>
      <w:ind w:firstLine="1418"/>
      <w:jc w:val="both"/>
    </w:pPr>
    <w:rPr>
      <w:rFonts w:ascii="Garamond" w:hAnsi="Garamond"/>
      <w:sz w:val="32"/>
    </w:rPr>
  </w:style>
  <w:style w:type="character" w:styleId="765">
    <w:name w:val="Título 3 Char"/>
    <w:next w:val="765"/>
    <w:link w:val="752"/>
    <w:qFormat/>
    <w:pPr>
      <w:pBdr/>
      <w:spacing/>
      <w:ind/>
    </w:pPr>
    <w:rPr>
      <w:rFonts w:ascii="Garamond" w:hAnsi="Garamond"/>
      <w:b/>
      <w:sz w:val="32"/>
    </w:rPr>
  </w:style>
  <w:style w:type="character" w:styleId="766">
    <w:name w:val="Rodapé Char"/>
    <w:next w:val="766"/>
    <w:link w:val="762"/>
    <w:qFormat/>
    <w:pPr>
      <w:pBdr/>
      <w:spacing/>
      <w:ind/>
    </w:pPr>
    <w:rPr>
      <w:rFonts w:ascii="Lucida Handwriting" w:hAnsi="Lucida Handwriting"/>
      <w:sz w:val="28"/>
    </w:rPr>
  </w:style>
  <w:style w:type="character" w:styleId="767">
    <w:name w:val="Cabeçalho Char"/>
    <w:next w:val="767"/>
    <w:link w:val="761"/>
    <w:qFormat/>
    <w:pPr>
      <w:pBdr/>
      <w:spacing/>
      <w:ind/>
    </w:pPr>
    <w:rPr>
      <w:rFonts w:ascii="Lucida Handwriting" w:hAnsi="Lucida Handwriting"/>
      <w:sz w:val="28"/>
    </w:rPr>
  </w:style>
  <w:style w:type="character" w:styleId="768">
    <w:name w:val="fontstyle01"/>
    <w:next w:val="768"/>
    <w:link w:val="749"/>
    <w:qFormat/>
    <w:pPr>
      <w:pBdr/>
      <w:spacing/>
      <w:ind/>
    </w:pPr>
    <w:rPr>
      <w:rFonts w:ascii="Humanist521BT-Roman" w:hAnsi="Humanist521BT-Roman" w:eastAsia="Humanist521BT-Roman" w:cs="Humanist521BT-Roman"/>
      <w:color w:val="261512"/>
      <w:sz w:val="30"/>
      <w:szCs w:val="3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Ata de Instalação dos Trabalhos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Comissao Enquerito/UFGo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DE INSTALAÇÃO DOS TRABALHOS</dc:title>
  <dc:creator>CPSIA</dc:creator>
  <cp:revision>3</cp:revision>
  <dcterms:created xsi:type="dcterms:W3CDTF">2023-05-04T18:58:00Z</dcterms:created>
  <dcterms:modified xsi:type="dcterms:W3CDTF">2026-06-22T17:34:10Z</dcterms:modified>
  <cp:version>1048576</cp:version>
</cp:coreProperties>
</file>