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24" w:rsidRPr="00135A24" w:rsidRDefault="00135A24" w:rsidP="00135A24">
      <w:pPr>
        <w:pStyle w:val="Default"/>
        <w:jc w:val="center"/>
        <w:rPr>
          <w:b/>
          <w:bCs/>
          <w:iCs/>
        </w:rPr>
      </w:pPr>
      <w:r w:rsidRPr="00135A24">
        <w:rPr>
          <w:b/>
          <w:bCs/>
          <w:iCs/>
        </w:rPr>
        <w:t>SEMINÁRIO HISTÓRIA DA LÓGICA E FILOSOFIA DA LÓGICA NO SÉCULO XX</w:t>
      </w:r>
    </w:p>
    <w:p w:rsidR="00135A24" w:rsidRDefault="00135A24" w:rsidP="00135A24">
      <w:pPr>
        <w:pStyle w:val="Default"/>
        <w:rPr>
          <w:i/>
          <w:iCs/>
        </w:rPr>
      </w:pPr>
    </w:p>
    <w:p w:rsidR="00135A24" w:rsidRPr="00135A24" w:rsidRDefault="00135A24" w:rsidP="00135A24">
      <w:pPr>
        <w:pStyle w:val="Default"/>
        <w:jc w:val="both"/>
        <w:rPr>
          <w:b/>
        </w:rPr>
      </w:pPr>
      <w:r w:rsidRPr="00135A24">
        <w:rPr>
          <w:b/>
          <w:iCs/>
        </w:rPr>
        <w:t>Prof</w:t>
      </w:r>
      <w:r w:rsidR="00EC58FF">
        <w:rPr>
          <w:b/>
          <w:iCs/>
        </w:rPr>
        <w:t>. Dr.</w:t>
      </w:r>
      <w:r w:rsidRPr="00135A24">
        <w:rPr>
          <w:b/>
          <w:iCs/>
        </w:rPr>
        <w:t xml:space="preserve"> </w:t>
      </w:r>
      <w:r w:rsidRPr="00135A24">
        <w:rPr>
          <w:b/>
          <w:bCs/>
          <w:iCs/>
        </w:rPr>
        <w:t xml:space="preserve">Wagner de Campos Sanz </w:t>
      </w:r>
    </w:p>
    <w:p w:rsidR="00135A24" w:rsidRPr="00135A24" w:rsidRDefault="00135A24" w:rsidP="00135A24">
      <w:pPr>
        <w:pStyle w:val="Default"/>
        <w:jc w:val="both"/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</w:rPr>
        <w:t xml:space="preserve">EMENTA: </w:t>
      </w:r>
    </w:p>
    <w:p w:rsidR="00135A24" w:rsidRDefault="00135A24" w:rsidP="00135A24">
      <w:pPr>
        <w:pStyle w:val="Default"/>
        <w:jc w:val="both"/>
      </w:pPr>
      <w:r w:rsidRPr="00135A24">
        <w:t xml:space="preserve">O seminário visa examinar alguns dos resultados importantes da lógica no século XX, tais como os de </w:t>
      </w:r>
      <w:proofErr w:type="spellStart"/>
      <w:r w:rsidRPr="00135A24">
        <w:t>indecidibilidade</w:t>
      </w:r>
      <w:proofErr w:type="spellEnd"/>
      <w:r w:rsidRPr="00135A24">
        <w:t xml:space="preserve">, </w:t>
      </w:r>
      <w:proofErr w:type="spellStart"/>
      <w:r w:rsidRPr="00135A24">
        <w:t>computabilidade</w:t>
      </w:r>
      <w:proofErr w:type="spellEnd"/>
      <w:r w:rsidRPr="00135A24">
        <w:t xml:space="preserve">, completude, etc., fazendo um exame do impacto filosófico dos resultados no desenvolvimento da filosofia e da própria lógica nos dias de hoje. </w:t>
      </w:r>
    </w:p>
    <w:p w:rsidR="00135A24" w:rsidRPr="00135A24" w:rsidRDefault="00135A24" w:rsidP="00135A24">
      <w:pPr>
        <w:pStyle w:val="Default"/>
        <w:jc w:val="both"/>
      </w:pPr>
    </w:p>
    <w:p w:rsidR="00135A24" w:rsidRDefault="00135A24" w:rsidP="00135A24">
      <w:pPr>
        <w:pStyle w:val="Default"/>
        <w:jc w:val="both"/>
      </w:pPr>
      <w:r w:rsidRPr="00135A24">
        <w:rPr>
          <w:b/>
        </w:rPr>
        <w:t>JUSTIFICATIVA</w:t>
      </w:r>
      <w:r w:rsidRPr="00135A24">
        <w:t xml:space="preserve">: Proporcionar aos alunos contato aprofundado com resultados chave da lógica contemporânea bem como sua situação no espaço de debate acadêmico em filosofia da lógica no século XX. </w:t>
      </w:r>
    </w:p>
    <w:p w:rsidR="00135A24" w:rsidRPr="00135A24" w:rsidRDefault="00135A24" w:rsidP="00135A24">
      <w:pPr>
        <w:pStyle w:val="Default"/>
        <w:jc w:val="both"/>
      </w:pPr>
    </w:p>
    <w:p w:rsidR="00135A24" w:rsidRDefault="00135A24" w:rsidP="00135A24">
      <w:pPr>
        <w:pStyle w:val="Default"/>
        <w:jc w:val="both"/>
      </w:pPr>
      <w:r w:rsidRPr="00135A24">
        <w:rPr>
          <w:b/>
        </w:rPr>
        <w:t>I – OBJETIVO GERAL</w:t>
      </w:r>
      <w:r w:rsidRPr="00135A24">
        <w:t xml:space="preserve">: Examinar o significado filosófico de alguns resultados importantes da lógica do século XX como os de incompletude, compacidade, </w:t>
      </w:r>
      <w:proofErr w:type="spellStart"/>
      <w:r w:rsidRPr="00135A24">
        <w:t>construtividade</w:t>
      </w:r>
      <w:proofErr w:type="spellEnd"/>
      <w:r w:rsidRPr="00135A24">
        <w:t xml:space="preserve">, </w:t>
      </w:r>
      <w:proofErr w:type="spellStart"/>
      <w:r w:rsidRPr="00135A24">
        <w:t>decidibilidade</w:t>
      </w:r>
      <w:proofErr w:type="spellEnd"/>
      <w:r w:rsidRPr="00135A24">
        <w:t xml:space="preserve"> e </w:t>
      </w:r>
      <w:proofErr w:type="spellStart"/>
      <w:r w:rsidRPr="00135A24">
        <w:t>computabilidade</w:t>
      </w:r>
      <w:proofErr w:type="spellEnd"/>
      <w:r w:rsidRPr="00135A24">
        <w:t xml:space="preserve">, além de problematizar o alcance da concepção de forma lógica contemporânea para o desenvolvimento das lógicas chamadas de não clássicas. </w:t>
      </w:r>
    </w:p>
    <w:p w:rsidR="00135A24" w:rsidRPr="00135A24" w:rsidRDefault="00135A24" w:rsidP="00135A24">
      <w:pPr>
        <w:pStyle w:val="Default"/>
        <w:jc w:val="both"/>
      </w:pPr>
    </w:p>
    <w:p w:rsidR="00135A24" w:rsidRDefault="00135A24" w:rsidP="00135A24">
      <w:pPr>
        <w:pStyle w:val="Default"/>
        <w:jc w:val="both"/>
      </w:pPr>
      <w:r w:rsidRPr="00135A24">
        <w:rPr>
          <w:b/>
        </w:rPr>
        <w:t>II – OBJETIVO ESPECIFÍCO</w:t>
      </w:r>
      <w:r w:rsidRPr="00135A24">
        <w:t xml:space="preserve">: Entender o quadro dos programas </w:t>
      </w:r>
      <w:proofErr w:type="spellStart"/>
      <w:r w:rsidRPr="00135A24">
        <w:t>fundacionais</w:t>
      </w:r>
      <w:proofErr w:type="spellEnd"/>
      <w:r w:rsidRPr="00135A24">
        <w:t xml:space="preserve"> e alguns dos pressupostos filosóficos subjacentes a estes quadros </w:t>
      </w:r>
      <w:proofErr w:type="spellStart"/>
      <w:r w:rsidRPr="00135A24">
        <w:t>fundacionais</w:t>
      </w:r>
      <w:proofErr w:type="spellEnd"/>
      <w:r w:rsidRPr="00135A24">
        <w:t xml:space="preserve">. Compreender a noção de prova canônica e porque esse foi considerado um </w:t>
      </w:r>
      <w:proofErr w:type="gramStart"/>
      <w:r w:rsidRPr="00135A24">
        <w:t>desenvolvimento</w:t>
      </w:r>
      <w:proofErr w:type="gramEnd"/>
      <w:r w:rsidRPr="00135A24">
        <w:t xml:space="preserve"> natural das cláusulas BHK. </w:t>
      </w:r>
    </w:p>
    <w:p w:rsidR="00135A24" w:rsidRPr="00135A24" w:rsidRDefault="00135A24" w:rsidP="00135A24">
      <w:pPr>
        <w:pStyle w:val="Default"/>
        <w:jc w:val="both"/>
      </w:pPr>
    </w:p>
    <w:p w:rsidR="00135A24" w:rsidRDefault="00135A24" w:rsidP="00135A24">
      <w:pPr>
        <w:pStyle w:val="Default"/>
        <w:jc w:val="both"/>
        <w:rPr>
          <w:b/>
          <w:bCs/>
        </w:rPr>
      </w:pPr>
      <w:r w:rsidRPr="00135A24">
        <w:t xml:space="preserve">III – </w:t>
      </w:r>
      <w:r w:rsidRPr="00135A24">
        <w:rPr>
          <w:b/>
          <w:bCs/>
        </w:rPr>
        <w:t xml:space="preserve">CONTEÚDO PROGRAMÁTICO: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1</w:t>
      </w:r>
      <w:proofErr w:type="gramEnd"/>
      <w:r w:rsidRPr="00135A24">
        <w:t xml:space="preserve">) Os resultados de completude, </w:t>
      </w:r>
      <w:proofErr w:type="spellStart"/>
      <w:r w:rsidRPr="00135A24">
        <w:t>Lowenheim-Skolem</w:t>
      </w:r>
      <w:proofErr w:type="spellEnd"/>
      <w:r w:rsidRPr="00135A24">
        <w:t xml:space="preserve"> e compacidade na lógica do século XX.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2</w:t>
      </w:r>
      <w:proofErr w:type="gramEnd"/>
      <w:r w:rsidRPr="00135A24">
        <w:t xml:space="preserve">) Os resultados de incompletude de </w:t>
      </w:r>
      <w:proofErr w:type="spellStart"/>
      <w:r w:rsidRPr="00135A24">
        <w:t>Godel</w:t>
      </w:r>
      <w:proofErr w:type="spellEnd"/>
      <w:r w:rsidRPr="00135A24">
        <w:t xml:space="preserve">.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3</w:t>
      </w:r>
      <w:proofErr w:type="gramEnd"/>
      <w:r w:rsidRPr="00135A24">
        <w:t xml:space="preserve">) O conceito de </w:t>
      </w:r>
      <w:proofErr w:type="spellStart"/>
      <w:r w:rsidRPr="00135A24">
        <w:t>computabilidade</w:t>
      </w:r>
      <w:proofErr w:type="spell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4</w:t>
      </w:r>
      <w:proofErr w:type="gramEnd"/>
      <w:r w:rsidRPr="00135A24">
        <w:t xml:space="preserve">) Pretensões filosóficas surgidas a partir do estudo dos sistemas formais e resultados metateóricos.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5</w:t>
      </w:r>
      <w:proofErr w:type="gramEnd"/>
      <w:r w:rsidRPr="00135A24">
        <w:t xml:space="preserve">) Formas lógicas e a noção de argumento em âmbitos </w:t>
      </w:r>
      <w:proofErr w:type="spellStart"/>
      <w:r w:rsidRPr="00135A24">
        <w:t>não-matemáticos</w:t>
      </w:r>
      <w:proofErr w:type="spellEnd"/>
      <w:r w:rsidRPr="00135A24">
        <w:t xml:space="preserve"> e </w:t>
      </w:r>
      <w:proofErr w:type="spellStart"/>
      <w:r w:rsidRPr="00135A24">
        <w:t>não-clássicos</w:t>
      </w:r>
      <w:proofErr w:type="spellEnd"/>
      <w:r w:rsidRPr="00135A24">
        <w:t xml:space="preserve">. </w:t>
      </w:r>
    </w:p>
    <w:p w:rsidR="00135A24" w:rsidRDefault="00135A24" w:rsidP="00135A24">
      <w:pPr>
        <w:pStyle w:val="Default"/>
        <w:jc w:val="both"/>
      </w:pPr>
    </w:p>
    <w:p w:rsidR="00135A24" w:rsidRPr="00135A24" w:rsidRDefault="00135A24" w:rsidP="00135A24">
      <w:pPr>
        <w:pStyle w:val="Default"/>
        <w:jc w:val="both"/>
      </w:pPr>
      <w:r w:rsidRPr="00135A24">
        <w:t xml:space="preserve">IV – </w:t>
      </w:r>
      <w:r w:rsidRPr="00135A24">
        <w:rPr>
          <w:b/>
          <w:bCs/>
        </w:rPr>
        <w:t xml:space="preserve">METODOLOGIA: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Aulas expositivas e seminários com análise de produção recente em periódicos e exame de literatura clássica na área. </w:t>
      </w:r>
    </w:p>
    <w:p w:rsidR="00135A24" w:rsidRDefault="00135A24" w:rsidP="00135A24">
      <w:pPr>
        <w:pStyle w:val="Default"/>
        <w:jc w:val="both"/>
      </w:pPr>
    </w:p>
    <w:p w:rsidR="00135A24" w:rsidRPr="00135A24" w:rsidRDefault="00135A24" w:rsidP="00135A24">
      <w:pPr>
        <w:pStyle w:val="Default"/>
        <w:jc w:val="both"/>
      </w:pPr>
      <w:r w:rsidRPr="00135A24">
        <w:t xml:space="preserve">V – </w:t>
      </w:r>
      <w:r w:rsidRPr="00135A24">
        <w:rPr>
          <w:b/>
          <w:bCs/>
        </w:rPr>
        <w:t>AVALIAÇÃO</w:t>
      </w:r>
      <w:r w:rsidRPr="00135A24">
        <w:t xml:space="preserve">: Por meio de produção textual acompanhada de apresentação em seminário do conteúdo trabalhado. </w:t>
      </w:r>
    </w:p>
    <w:p w:rsidR="00135A24" w:rsidRDefault="00135A24" w:rsidP="00135A24">
      <w:pPr>
        <w:pStyle w:val="Default"/>
        <w:jc w:val="both"/>
      </w:pPr>
    </w:p>
    <w:p w:rsidR="00D73187" w:rsidRPr="00135A24" w:rsidRDefault="00135A24" w:rsidP="00EC58FF">
      <w:pPr>
        <w:pStyle w:val="Default"/>
        <w:jc w:val="both"/>
      </w:pPr>
      <w:r w:rsidRPr="00135A24">
        <w:t xml:space="preserve">VI – </w:t>
      </w:r>
      <w:r w:rsidRPr="00135A24">
        <w:rPr>
          <w:b/>
          <w:bCs/>
        </w:rPr>
        <w:t>BIBLIOGRAFIA BÁSICA</w:t>
      </w:r>
      <w:r w:rsidRPr="00135A24">
        <w:t xml:space="preserve">: a ser preparada. </w:t>
      </w:r>
    </w:p>
    <w:sectPr w:rsidR="00D73187" w:rsidRPr="00135A24" w:rsidSect="00D7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35A24"/>
    <w:rsid w:val="00000789"/>
    <w:rsid w:val="00087C1C"/>
    <w:rsid w:val="00135A24"/>
    <w:rsid w:val="001B74F7"/>
    <w:rsid w:val="00290D45"/>
    <w:rsid w:val="00347EC7"/>
    <w:rsid w:val="0038297B"/>
    <w:rsid w:val="00391378"/>
    <w:rsid w:val="003E22DE"/>
    <w:rsid w:val="004438E4"/>
    <w:rsid w:val="006C5464"/>
    <w:rsid w:val="00883427"/>
    <w:rsid w:val="008C424C"/>
    <w:rsid w:val="00972A8C"/>
    <w:rsid w:val="00BD1202"/>
    <w:rsid w:val="00BF3D7D"/>
    <w:rsid w:val="00CB138C"/>
    <w:rsid w:val="00D73187"/>
    <w:rsid w:val="00EC58FF"/>
    <w:rsid w:val="00F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2017-03-30T13:51:00Z</dcterms:created>
  <dcterms:modified xsi:type="dcterms:W3CDTF">2017-03-30T13:51:00Z</dcterms:modified>
</cp:coreProperties>
</file>