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numPr>
          <w:ilvl w:val="0"/>
          <w:numId w:val="1"/>
        </w:numPr>
        <w:spacing w:after="60" w:befor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/>
        <w:drawing>
          <wp:inline distB="0" distT="0" distL="0" distR="0">
            <wp:extent cx="1718945" cy="8413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84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TERMO DE RENÚNCIA DE PASSAGENS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nota informativa nº 421/2013/CGNOR/DENOP/SEGEP/MP,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indenização com diárias possui natureza jurídica patrimonial disponível, não havendo, portanto, óbice jurídico para que haja renúncia pelo servidor quanto à sua percepção.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Universidade Federal de Goiás estabelece que, excepcionalmente, no afastamento do servidor para comparecimento em eventos 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evidenciando-se o interesse da UFG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poderá o servidor abrir mão total ou parcialmente de determinados direitos e garantir sua presença nesses eventos, buscando outras formas de atendimento a essas despesas, e até assumindo, ele próprio, esses ônus.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Portanto,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__________________________________, portador do CPF nº ___________________, SIAPE __________________ li e concordo com os termos acima mencionados e renuncio expressamente meu direito de receber integralmente ou parte das diárias, passagens e/ou indenizações a que tenho direito.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Renuncio: (X) Passagens de ida/volta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Goiânia, ______ de _______________________ de ___________.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Proposto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Arimo" w:cs="Arimo" w:eastAsia="Arimo" w:hAnsi="Arimo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mo" w:cs="Arimo" w:eastAsia="Arimo" w:hAnsi="Arimo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539" w:top="141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  <w:contextualSpacing w:val="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