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7"/>
      </w:tblGrid>
      <w:tr w:rsidR="000366E8" w:rsidRPr="006F4EC5" w:rsidTr="00AA7E8B">
        <w:trPr>
          <w:trHeight w:val="664"/>
        </w:trPr>
        <w:tc>
          <w:tcPr>
            <w:tcW w:w="9357" w:type="dxa"/>
          </w:tcPr>
          <w:p w:rsidR="000366E8" w:rsidRPr="004E07A6" w:rsidRDefault="000366E8" w:rsidP="00A97E57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0366E8" w:rsidRPr="006F4EC5" w:rsidTr="00AA7E8B">
        <w:trPr>
          <w:trHeight w:val="513"/>
        </w:trPr>
        <w:tc>
          <w:tcPr>
            <w:tcW w:w="9357" w:type="dxa"/>
          </w:tcPr>
          <w:p w:rsidR="000366E8" w:rsidRDefault="000366E8" w:rsidP="009235C6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NOME DA DISCIPLINA: Tópicos de Filosofia da Linguagem e da Lógica: Filosofia da Linguagem I</w:t>
            </w:r>
            <w:r w:rsidR="00D24182">
              <w:rPr>
                <w:b/>
                <w:sz w:val="22"/>
                <w:szCs w:val="22"/>
              </w:rPr>
              <w:t>I</w:t>
            </w:r>
          </w:p>
          <w:p w:rsidR="00D24182" w:rsidRDefault="00FD201A" w:rsidP="009235C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TÍTULO:</w:t>
            </w:r>
            <w:r w:rsidR="00153665">
              <w:rPr>
                <w:b/>
                <w:sz w:val="22"/>
                <w:szCs w:val="22"/>
              </w:rPr>
              <w:t xml:space="preserve"> </w:t>
            </w:r>
            <w:r w:rsidR="00D24182">
              <w:rPr>
                <w:b/>
                <w:sz w:val="22"/>
                <w:szCs w:val="22"/>
              </w:rPr>
              <w:t>A tese da indeterminação da referencia de Quine e a crítica a noção de substância Aristotélica</w:t>
            </w:r>
          </w:p>
          <w:p w:rsidR="00A63DC6" w:rsidRDefault="00A63DC6" w:rsidP="00A63DC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ANO:  </w:t>
            </w:r>
            <w:r w:rsidR="00D24182">
              <w:rPr>
                <w:b/>
                <w:sz w:val="22"/>
                <w:szCs w:val="22"/>
              </w:rPr>
              <w:t>2017</w:t>
            </w:r>
            <w:r w:rsidR="00153665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:rsidR="005C3895" w:rsidRPr="004E07A6" w:rsidRDefault="005C3895" w:rsidP="005C3895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CÓD: </w:t>
            </w:r>
          </w:p>
          <w:p w:rsidR="005C3895" w:rsidRPr="004E07A6" w:rsidRDefault="005C3895" w:rsidP="00582EEB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CÓD: </w:t>
            </w:r>
          </w:p>
        </w:tc>
      </w:tr>
      <w:tr w:rsidR="000366E8" w:rsidRPr="006F4EC5" w:rsidTr="00AA7E8B">
        <w:trPr>
          <w:trHeight w:val="438"/>
        </w:trPr>
        <w:tc>
          <w:tcPr>
            <w:tcW w:w="9357" w:type="dxa"/>
          </w:tcPr>
          <w:p w:rsidR="000366E8" w:rsidRPr="004E07A6" w:rsidRDefault="000366E8" w:rsidP="00426A9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Nº de créditos:  04             </w:t>
            </w:r>
            <w:r w:rsidRPr="004E07A6">
              <w:rPr>
                <w:sz w:val="22"/>
                <w:szCs w:val="22"/>
              </w:rPr>
              <w:t xml:space="preserve">Carga Horária: 60    </w:t>
            </w:r>
            <w:r w:rsidR="001F6960" w:rsidRPr="004E07A6">
              <w:rPr>
                <w:sz w:val="22"/>
                <w:szCs w:val="22"/>
              </w:rPr>
              <w:t xml:space="preserve">Nível: </w:t>
            </w:r>
            <w:r w:rsidR="00426A9E">
              <w:rPr>
                <w:sz w:val="22"/>
                <w:szCs w:val="22"/>
              </w:rPr>
              <w:t xml:space="preserve">M/D    </w:t>
            </w:r>
            <w:r w:rsidRPr="004E07A6">
              <w:rPr>
                <w:sz w:val="22"/>
                <w:szCs w:val="22"/>
              </w:rPr>
              <w:t xml:space="preserve">  </w:t>
            </w:r>
            <w:r w:rsidR="001F6960" w:rsidRPr="004E07A6">
              <w:rPr>
                <w:sz w:val="22"/>
                <w:szCs w:val="22"/>
              </w:rPr>
              <w:t>Obrigatória: Não</w:t>
            </w:r>
          </w:p>
        </w:tc>
      </w:tr>
      <w:tr w:rsidR="000366E8" w:rsidRPr="006F4EC5" w:rsidTr="00AA7E8B">
        <w:trPr>
          <w:trHeight w:val="438"/>
        </w:trPr>
        <w:tc>
          <w:tcPr>
            <w:tcW w:w="9357" w:type="dxa"/>
          </w:tcPr>
          <w:p w:rsidR="000366E8" w:rsidRPr="004E07A6" w:rsidRDefault="000366E8" w:rsidP="0046338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Área de Concentração:</w:t>
            </w:r>
            <w:r w:rsidR="00AD7A80" w:rsidRPr="004E07A6">
              <w:rPr>
                <w:b/>
                <w:sz w:val="22"/>
                <w:szCs w:val="22"/>
              </w:rPr>
              <w:t xml:space="preserve"> Filosofia</w:t>
            </w:r>
          </w:p>
        </w:tc>
      </w:tr>
      <w:tr w:rsidR="000366E8" w:rsidRPr="00B84551" w:rsidTr="00AA7E8B">
        <w:trPr>
          <w:trHeight w:val="1026"/>
        </w:trPr>
        <w:tc>
          <w:tcPr>
            <w:tcW w:w="9357" w:type="dxa"/>
          </w:tcPr>
          <w:p w:rsidR="000366E8" w:rsidRPr="004E07A6" w:rsidRDefault="000366E8" w:rsidP="002D649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EMENTA:</w:t>
            </w:r>
          </w:p>
          <w:p w:rsidR="000366E8" w:rsidRPr="004E07A6" w:rsidRDefault="000366E8" w:rsidP="00A85F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07A6">
              <w:rPr>
                <w:sz w:val="22"/>
                <w:szCs w:val="22"/>
              </w:rPr>
              <w:t>A disciplina visa abordar a primeira fase da filosofia da linguagem, representada pelas obras do início da Filosofia da Linguagem e da Lógica.</w:t>
            </w:r>
          </w:p>
        </w:tc>
      </w:tr>
      <w:tr w:rsidR="000366E8" w:rsidRPr="0094617E" w:rsidTr="00AA7E8B">
        <w:trPr>
          <w:trHeight w:val="8394"/>
        </w:trPr>
        <w:tc>
          <w:tcPr>
            <w:tcW w:w="9357" w:type="dxa"/>
          </w:tcPr>
          <w:p w:rsidR="00F92CD8" w:rsidRPr="00110863" w:rsidRDefault="000366E8" w:rsidP="009C6495">
            <w:pPr>
              <w:spacing w:before="200" w:after="200"/>
              <w:jc w:val="both"/>
              <w:rPr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 </w:t>
            </w:r>
            <w:r w:rsidR="00426A9E">
              <w:rPr>
                <w:b/>
                <w:sz w:val="22"/>
                <w:szCs w:val="22"/>
              </w:rPr>
              <w:t>OBJETIVO GERAL:</w:t>
            </w:r>
            <w:r w:rsidR="00153665">
              <w:rPr>
                <w:b/>
                <w:sz w:val="22"/>
                <w:szCs w:val="22"/>
              </w:rPr>
              <w:t xml:space="preserve"> </w:t>
            </w:r>
            <w:r w:rsidR="00474913" w:rsidRPr="00474913">
              <w:rPr>
                <w:sz w:val="22"/>
                <w:szCs w:val="22"/>
              </w:rPr>
              <w:t xml:space="preserve">Nesse curso, vamos analisar um grande marco na filosofia de W. V. O. Quine: o segundo capítulo do </w:t>
            </w:r>
            <w:r w:rsidR="00474913" w:rsidRPr="00474913">
              <w:rPr>
                <w:i/>
                <w:iCs/>
                <w:sz w:val="22"/>
                <w:szCs w:val="22"/>
              </w:rPr>
              <w:t xml:space="preserve">Word </w:t>
            </w:r>
            <w:proofErr w:type="spellStart"/>
            <w:r w:rsidR="00474913" w:rsidRPr="00474913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="00474913" w:rsidRPr="0047491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74913" w:rsidRPr="00474913">
              <w:rPr>
                <w:i/>
                <w:iCs/>
                <w:sz w:val="22"/>
                <w:szCs w:val="22"/>
              </w:rPr>
              <w:t>Object</w:t>
            </w:r>
            <w:proofErr w:type="spellEnd"/>
            <w:r w:rsidR="00474913" w:rsidRPr="00474913">
              <w:rPr>
                <w:i/>
                <w:iCs/>
                <w:sz w:val="22"/>
                <w:szCs w:val="22"/>
              </w:rPr>
              <w:t>.</w:t>
            </w:r>
            <w:r w:rsidR="00474913" w:rsidRPr="00474913">
              <w:rPr>
                <w:sz w:val="22"/>
                <w:szCs w:val="22"/>
              </w:rPr>
              <w:t xml:space="preserve"> Imerso em uma intensa discussão com </w:t>
            </w:r>
            <w:proofErr w:type="spellStart"/>
            <w:r w:rsidR="00474913" w:rsidRPr="00474913">
              <w:rPr>
                <w:sz w:val="22"/>
                <w:szCs w:val="22"/>
              </w:rPr>
              <w:t>Carnap</w:t>
            </w:r>
            <w:proofErr w:type="spellEnd"/>
            <w:r w:rsidR="00474913" w:rsidRPr="00474913">
              <w:rPr>
                <w:sz w:val="22"/>
                <w:szCs w:val="22"/>
              </w:rPr>
              <w:t xml:space="preserve"> sobre o futuro da filosofia da linguagem, Quine se vê subitamente diante de uma grande descoberta filosófica: a multiplicidade de interpretações disponíveis ao se tentar traduzir uma linguagem totalmente estranha em bases puramente comportamentais. As conclusões as quais chega o filósofo diante desse “experimento mental” serão de grande importância para o futuro da filosofia. Nosso curso terá, portanto, </w:t>
            </w:r>
            <w:r w:rsidR="00474913">
              <w:rPr>
                <w:sz w:val="22"/>
                <w:szCs w:val="22"/>
              </w:rPr>
              <w:t>três</w:t>
            </w:r>
            <w:r w:rsidR="00474913" w:rsidRPr="00474913">
              <w:rPr>
                <w:sz w:val="22"/>
                <w:szCs w:val="22"/>
              </w:rPr>
              <w:t xml:space="preserve"> objetivos: (1) compreender o</w:t>
            </w:r>
            <w:r w:rsidR="00474913">
              <w:rPr>
                <w:sz w:val="22"/>
                <w:szCs w:val="22"/>
              </w:rPr>
              <w:t>s</w:t>
            </w:r>
            <w:r w:rsidR="00474913" w:rsidRPr="00474913">
              <w:rPr>
                <w:sz w:val="22"/>
                <w:szCs w:val="22"/>
              </w:rPr>
              <w:t xml:space="preserve"> argumento</w:t>
            </w:r>
            <w:r w:rsidR="00474913">
              <w:rPr>
                <w:sz w:val="22"/>
                <w:szCs w:val="22"/>
              </w:rPr>
              <w:t>s</w:t>
            </w:r>
            <w:r w:rsidR="00474913" w:rsidRPr="00474913">
              <w:rPr>
                <w:sz w:val="22"/>
                <w:szCs w:val="22"/>
              </w:rPr>
              <w:t xml:space="preserve"> de Quine em favor da indeterminação da tradução</w:t>
            </w:r>
            <w:r w:rsidR="00474913">
              <w:rPr>
                <w:sz w:val="22"/>
                <w:szCs w:val="22"/>
              </w:rPr>
              <w:t>; e (2)</w:t>
            </w:r>
            <w:r w:rsidR="00474913" w:rsidRPr="00474913">
              <w:rPr>
                <w:sz w:val="22"/>
                <w:szCs w:val="22"/>
              </w:rPr>
              <w:t xml:space="preserve"> </w:t>
            </w:r>
            <w:r w:rsidR="00474913">
              <w:rPr>
                <w:sz w:val="22"/>
                <w:szCs w:val="22"/>
              </w:rPr>
              <w:t>compreender</w:t>
            </w:r>
            <w:r w:rsidR="00474913" w:rsidRPr="00474913">
              <w:rPr>
                <w:sz w:val="22"/>
                <w:szCs w:val="22"/>
              </w:rPr>
              <w:t xml:space="preserve"> </w:t>
            </w:r>
            <w:r w:rsidR="00474913">
              <w:rPr>
                <w:sz w:val="22"/>
                <w:szCs w:val="22"/>
              </w:rPr>
              <w:t xml:space="preserve">as reações e contra-argumentações feitas por interlocutores de Quine no meio acadêmico; e (3) compreender as consequências da tese defendida por Quine para a noção clássica de “substância” </w:t>
            </w:r>
            <w:r w:rsidR="005D17CC">
              <w:rPr>
                <w:sz w:val="22"/>
                <w:szCs w:val="22"/>
              </w:rPr>
              <w:t>que encontramos</w:t>
            </w:r>
            <w:r w:rsidR="00474913">
              <w:rPr>
                <w:sz w:val="22"/>
                <w:szCs w:val="22"/>
              </w:rPr>
              <w:t xml:space="preserve"> caracterizada por Aristóteles</w:t>
            </w:r>
            <w:r w:rsidR="008B15C6">
              <w:rPr>
                <w:sz w:val="22"/>
                <w:szCs w:val="22"/>
              </w:rPr>
              <w:t>, tanto</w:t>
            </w:r>
            <w:r w:rsidR="00474913">
              <w:rPr>
                <w:sz w:val="22"/>
                <w:szCs w:val="22"/>
              </w:rPr>
              <w:t xml:space="preserve"> no </w:t>
            </w:r>
            <w:r w:rsidR="008B15C6">
              <w:rPr>
                <w:sz w:val="22"/>
                <w:szCs w:val="22"/>
              </w:rPr>
              <w:t xml:space="preserve">capitulo V das categorias, no ultimo parágrafo, quanto no livro </w:t>
            </w:r>
            <w:proofErr w:type="spellStart"/>
            <w:r w:rsidR="008B15C6" w:rsidRPr="008B15C6">
              <w:rPr>
                <w:i/>
                <w:sz w:val="22"/>
                <w:szCs w:val="22"/>
              </w:rPr>
              <w:t>Zeta</w:t>
            </w:r>
            <w:proofErr w:type="spellEnd"/>
            <w:r w:rsidR="008B15C6">
              <w:rPr>
                <w:sz w:val="22"/>
                <w:szCs w:val="22"/>
              </w:rPr>
              <w:t xml:space="preserve"> da </w:t>
            </w:r>
            <w:r w:rsidR="008B15C6" w:rsidRPr="008B15C6">
              <w:rPr>
                <w:i/>
                <w:sz w:val="22"/>
                <w:szCs w:val="22"/>
              </w:rPr>
              <w:t>Metafísica</w:t>
            </w:r>
            <w:r w:rsidR="008B15C6">
              <w:rPr>
                <w:sz w:val="22"/>
                <w:szCs w:val="22"/>
              </w:rPr>
              <w:t>.</w:t>
            </w:r>
          </w:p>
          <w:p w:rsidR="000366E8" w:rsidRPr="00110863" w:rsidRDefault="000366E8" w:rsidP="00110863">
            <w:pPr>
              <w:spacing w:before="200" w:after="200"/>
              <w:jc w:val="both"/>
              <w:rPr>
                <w:b/>
                <w:sz w:val="22"/>
                <w:szCs w:val="22"/>
                <w:lang w:val="en-US"/>
              </w:rPr>
            </w:pPr>
            <w:r w:rsidRPr="004E07A6">
              <w:rPr>
                <w:b/>
                <w:sz w:val="22"/>
                <w:szCs w:val="22"/>
                <w:lang w:val="en-US"/>
              </w:rPr>
              <w:t>BIBLIOGRAFIA:</w:t>
            </w:r>
          </w:p>
          <w:p w:rsidR="00474913" w:rsidRPr="00474913" w:rsidRDefault="00474913" w:rsidP="00474913">
            <w:pPr>
              <w:pStyle w:val="Bibliografia1"/>
              <w:rPr>
                <w:b/>
                <w:bCs/>
              </w:rPr>
            </w:pPr>
            <w:r w:rsidRPr="00474913">
              <w:rPr>
                <w:b/>
                <w:bCs/>
              </w:rPr>
              <w:t>Básica:</w:t>
            </w:r>
          </w:p>
          <w:p w:rsidR="00474913" w:rsidRPr="00474913" w:rsidRDefault="00474913" w:rsidP="00474913">
            <w:pPr>
              <w:pStyle w:val="Bibliografia1"/>
              <w:rPr>
                <w:b/>
                <w:bCs/>
              </w:rPr>
            </w:pPr>
          </w:p>
          <w:p w:rsidR="00474913" w:rsidRDefault="00474913" w:rsidP="00474913">
            <w:pPr>
              <w:pStyle w:val="Bibliografia1"/>
              <w:rPr>
                <w:lang w:val="en-US"/>
              </w:rPr>
            </w:pPr>
            <w:r w:rsidRPr="00474913">
              <w:t xml:space="preserve">QUINE, W.V.O. “Tradução e Significado”, traduzido por: André Porto e Araceli Velloso. </w:t>
            </w:r>
            <w:r w:rsidRPr="00474913">
              <w:rPr>
                <w:lang w:val="en-US"/>
              </w:rPr>
              <w:t xml:space="preserve">Do original: “Translation and Meaning”, In </w:t>
            </w:r>
            <w:r w:rsidRPr="00474913">
              <w:rPr>
                <w:i/>
                <w:iCs/>
                <w:lang w:val="en-US"/>
              </w:rPr>
              <w:t xml:space="preserve">Word &amp; Object, </w:t>
            </w:r>
            <w:proofErr w:type="spellStart"/>
            <w:r w:rsidRPr="00474913">
              <w:rPr>
                <w:lang w:val="en-US"/>
              </w:rPr>
              <w:t>capítulo</w:t>
            </w:r>
            <w:proofErr w:type="spellEnd"/>
            <w:r w:rsidRPr="00474913">
              <w:rPr>
                <w:lang w:val="en-US"/>
              </w:rPr>
              <w:t xml:space="preserve"> II. No site.</w:t>
            </w:r>
          </w:p>
          <w:p w:rsidR="00474913" w:rsidRPr="00474913" w:rsidRDefault="00474913" w:rsidP="00474913">
            <w:pPr>
              <w:pStyle w:val="Bibliografia1"/>
              <w:rPr>
                <w:i/>
                <w:lang w:val="en-US"/>
              </w:rPr>
            </w:pPr>
            <w:r>
              <w:rPr>
                <w:lang w:val="en-US"/>
              </w:rPr>
              <w:t xml:space="preserve">_____________. </w:t>
            </w:r>
            <w:r>
              <w:rPr>
                <w:i/>
                <w:lang w:val="en-US"/>
              </w:rPr>
              <w:t>W&amp;O.</w:t>
            </w:r>
          </w:p>
          <w:p w:rsidR="00474913" w:rsidRPr="00474913" w:rsidRDefault="00474913" w:rsidP="00474913">
            <w:pPr>
              <w:pStyle w:val="Bibliografia1"/>
              <w:rPr>
                <w:i/>
                <w:lang w:val="en-US"/>
              </w:rPr>
            </w:pPr>
            <w:r>
              <w:rPr>
                <w:lang w:val="en-US"/>
              </w:rPr>
              <w:t>_____________. “</w:t>
            </w:r>
            <w:proofErr w:type="spellStart"/>
            <w:r>
              <w:rPr>
                <w:lang w:val="en-US"/>
              </w:rPr>
              <w:t>Relatividade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Ontológica</w:t>
            </w:r>
            <w:proofErr w:type="spellEnd"/>
            <w:r>
              <w:rPr>
                <w:lang w:val="en-US"/>
              </w:rPr>
              <w:t xml:space="preserve">”, </w:t>
            </w:r>
            <w:proofErr w:type="spellStart"/>
            <w:r>
              <w:rPr>
                <w:lang w:val="en-US"/>
              </w:rPr>
              <w:t>tradução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Oswaldo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Porchat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Publicada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Pensadores</w:t>
            </w:r>
            <w:proofErr w:type="spellEnd"/>
            <w:r>
              <w:rPr>
                <w:lang w:val="en-US"/>
              </w:rPr>
              <w:t xml:space="preserve">. Do original: </w:t>
            </w:r>
            <w:r>
              <w:rPr>
                <w:i/>
                <w:lang w:val="en-US"/>
              </w:rPr>
              <w:t>Ontological Relativity and other essays.</w:t>
            </w:r>
          </w:p>
          <w:p w:rsidR="00474913" w:rsidRDefault="00474913" w:rsidP="00474913">
            <w:pPr>
              <w:pStyle w:val="Bibliografia1"/>
            </w:pPr>
            <w:r w:rsidRPr="00474913">
              <w:t>FREGE, G. Fundamentos da aritmética. Parte II, §18 – 28. Coleção Os Pensadores.</w:t>
            </w:r>
          </w:p>
          <w:p w:rsidR="004C554D" w:rsidRDefault="004C554D" w:rsidP="00474913">
            <w:pPr>
              <w:pStyle w:val="Bibliografia1"/>
            </w:pPr>
            <w:r>
              <w:t xml:space="preserve">ARISTÓTELES. </w:t>
            </w:r>
            <w:r>
              <w:rPr>
                <w:i/>
              </w:rPr>
              <w:t xml:space="preserve">Categorias </w:t>
            </w:r>
            <w:r>
              <w:t>V.</w:t>
            </w:r>
          </w:p>
          <w:p w:rsidR="004C554D" w:rsidRPr="004C554D" w:rsidRDefault="004C554D" w:rsidP="00474913">
            <w:pPr>
              <w:pStyle w:val="Bibliografia1"/>
            </w:pPr>
            <w:r>
              <w:t xml:space="preserve">ARISTÓTELES. </w:t>
            </w:r>
            <w:r>
              <w:rPr>
                <w:i/>
              </w:rPr>
              <w:t>Metafísica, Livro Zeta.</w:t>
            </w:r>
            <w:bookmarkStart w:id="0" w:name="_GoBack"/>
            <w:bookmarkEnd w:id="0"/>
          </w:p>
          <w:p w:rsidR="00474913" w:rsidRPr="00474913" w:rsidRDefault="00474913" w:rsidP="00474913">
            <w:pPr>
              <w:pStyle w:val="Bibliografia1"/>
            </w:pPr>
          </w:p>
          <w:p w:rsidR="00474913" w:rsidRPr="00474913" w:rsidRDefault="00474913" w:rsidP="00474913">
            <w:pPr>
              <w:pStyle w:val="Bibliografia1"/>
            </w:pPr>
            <w:r w:rsidRPr="00474913">
              <w:t xml:space="preserve">O material da aula e os exercícios estarão disponíveis no site: </w:t>
            </w:r>
          </w:p>
          <w:p w:rsidR="00474913" w:rsidRPr="00474913" w:rsidRDefault="0030770A" w:rsidP="00474913">
            <w:pPr>
              <w:pStyle w:val="Bibliografia1"/>
            </w:pPr>
            <w:hyperlink r:id="rId5" w:history="1">
              <w:r w:rsidR="00474913" w:rsidRPr="00474913">
                <w:rPr>
                  <w:rStyle w:val="Hyperlink"/>
                </w:rPr>
                <w:t>https://sites.google.com/site/professoraaracelivelloso/</w:t>
              </w:r>
            </w:hyperlink>
          </w:p>
          <w:p w:rsidR="00474913" w:rsidRPr="00474913" w:rsidRDefault="00474913" w:rsidP="00474913">
            <w:pPr>
              <w:pStyle w:val="Bibliografia1"/>
            </w:pPr>
          </w:p>
          <w:p w:rsidR="00474913" w:rsidRPr="00474913" w:rsidRDefault="00474913" w:rsidP="00474913">
            <w:pPr>
              <w:pStyle w:val="Bibliografia1"/>
              <w:rPr>
                <w:b/>
                <w:bCs/>
                <w:lang w:val="en-US"/>
              </w:rPr>
            </w:pPr>
            <w:proofErr w:type="spellStart"/>
            <w:r w:rsidRPr="00474913">
              <w:rPr>
                <w:b/>
                <w:bCs/>
                <w:lang w:val="en-US"/>
              </w:rPr>
              <w:t>Complementar</w:t>
            </w:r>
            <w:proofErr w:type="spellEnd"/>
            <w:r w:rsidRPr="00474913">
              <w:rPr>
                <w:b/>
                <w:bCs/>
                <w:lang w:val="en-US"/>
              </w:rPr>
              <w:t>:</w:t>
            </w:r>
          </w:p>
          <w:p w:rsidR="00474913" w:rsidRPr="00474913" w:rsidRDefault="00474913" w:rsidP="00474913">
            <w:pPr>
              <w:pStyle w:val="Bibliografia1"/>
            </w:pPr>
          </w:p>
          <w:p w:rsidR="00474913" w:rsidRPr="00474913" w:rsidRDefault="00474913" w:rsidP="00474913">
            <w:pPr>
              <w:pStyle w:val="Bibliografia1"/>
            </w:pPr>
            <w:r w:rsidRPr="00474913">
              <w:t xml:space="preserve">VELLOSO, A. “Agregados, conjuntos e a tese da indeterminação da referência”. </w:t>
            </w:r>
            <w:r w:rsidRPr="00474913">
              <w:rPr>
                <w:i/>
              </w:rPr>
              <w:t>Dois Pontos</w:t>
            </w:r>
            <w:r w:rsidRPr="00474913">
              <w:t xml:space="preserve">, </w:t>
            </w:r>
            <w:r w:rsidRPr="00474913">
              <w:rPr>
                <w:lang w:val="en-US"/>
              </w:rPr>
              <w:t xml:space="preserve">vol. 6, n. 2, p.109-127, </w:t>
            </w:r>
            <w:proofErr w:type="spellStart"/>
            <w:r w:rsidRPr="00474913">
              <w:rPr>
                <w:lang w:val="en-US"/>
              </w:rPr>
              <w:t>outubro</w:t>
            </w:r>
            <w:proofErr w:type="spellEnd"/>
            <w:r w:rsidRPr="00474913">
              <w:rPr>
                <w:lang w:val="en-US"/>
              </w:rPr>
              <w:t>, 2009</w:t>
            </w:r>
            <w:r w:rsidRPr="00474913">
              <w:t>. Estará disponível no site.</w:t>
            </w:r>
          </w:p>
          <w:p w:rsidR="008D0A53" w:rsidRPr="000868FB" w:rsidRDefault="00474913" w:rsidP="000A54BF">
            <w:pPr>
              <w:pStyle w:val="Bibliografia1"/>
              <w:rPr>
                <w:b/>
                <w:sz w:val="22"/>
                <w:szCs w:val="22"/>
                <w:lang w:val="en-US"/>
              </w:rPr>
            </w:pPr>
            <w:r w:rsidRPr="00474913">
              <w:t xml:space="preserve">VELLOSO, A. Texto didático sobre as noções </w:t>
            </w:r>
            <w:proofErr w:type="spellStart"/>
            <w:r w:rsidRPr="00474913">
              <w:t>quinianas</w:t>
            </w:r>
            <w:proofErr w:type="spellEnd"/>
            <w:r w:rsidRPr="00474913">
              <w:t xml:space="preserve"> extraído da tese de doutorado, disponível no site.</w:t>
            </w:r>
          </w:p>
        </w:tc>
      </w:tr>
    </w:tbl>
    <w:p w:rsidR="000366E8" w:rsidRPr="0094617E" w:rsidRDefault="000366E8">
      <w:pPr>
        <w:rPr>
          <w:lang w:val="en-US"/>
        </w:rPr>
      </w:pPr>
    </w:p>
    <w:sectPr w:rsidR="000366E8" w:rsidRPr="0094617E" w:rsidSect="000A54BF">
      <w:pgSz w:w="11906" w:h="16838"/>
      <w:pgMar w:top="1021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52268"/>
    <w:rsid w:val="00001CFA"/>
    <w:rsid w:val="000366E8"/>
    <w:rsid w:val="00043639"/>
    <w:rsid w:val="00051683"/>
    <w:rsid w:val="0006661D"/>
    <w:rsid w:val="00082CAE"/>
    <w:rsid w:val="000868FB"/>
    <w:rsid w:val="000A54BF"/>
    <w:rsid w:val="000C0454"/>
    <w:rsid w:val="000E06F1"/>
    <w:rsid w:val="000E76E4"/>
    <w:rsid w:val="00104C67"/>
    <w:rsid w:val="00110863"/>
    <w:rsid w:val="00113384"/>
    <w:rsid w:val="00153665"/>
    <w:rsid w:val="00163A6F"/>
    <w:rsid w:val="00164081"/>
    <w:rsid w:val="00170FB8"/>
    <w:rsid w:val="00171A62"/>
    <w:rsid w:val="001E0485"/>
    <w:rsid w:val="001F225D"/>
    <w:rsid w:val="001F6960"/>
    <w:rsid w:val="002511B5"/>
    <w:rsid w:val="00283682"/>
    <w:rsid w:val="002A74D9"/>
    <w:rsid w:val="002B2F9C"/>
    <w:rsid w:val="002C15AF"/>
    <w:rsid w:val="002D6496"/>
    <w:rsid w:val="0030770A"/>
    <w:rsid w:val="00325797"/>
    <w:rsid w:val="00340A3F"/>
    <w:rsid w:val="003420C0"/>
    <w:rsid w:val="0035157C"/>
    <w:rsid w:val="00352268"/>
    <w:rsid w:val="00373A1C"/>
    <w:rsid w:val="00384684"/>
    <w:rsid w:val="00392BAF"/>
    <w:rsid w:val="003945A6"/>
    <w:rsid w:val="003B4790"/>
    <w:rsid w:val="003D4D3C"/>
    <w:rsid w:val="003E01FE"/>
    <w:rsid w:val="003E6734"/>
    <w:rsid w:val="003F7748"/>
    <w:rsid w:val="004255E9"/>
    <w:rsid w:val="0042626B"/>
    <w:rsid w:val="00426A9E"/>
    <w:rsid w:val="00440F8E"/>
    <w:rsid w:val="0046338E"/>
    <w:rsid w:val="0047122F"/>
    <w:rsid w:val="00474913"/>
    <w:rsid w:val="00496939"/>
    <w:rsid w:val="004A7F31"/>
    <w:rsid w:val="004C323E"/>
    <w:rsid w:val="004C554D"/>
    <w:rsid w:val="004E07A6"/>
    <w:rsid w:val="00542770"/>
    <w:rsid w:val="00543DF5"/>
    <w:rsid w:val="00582EEB"/>
    <w:rsid w:val="00583F4B"/>
    <w:rsid w:val="005918C6"/>
    <w:rsid w:val="005931B0"/>
    <w:rsid w:val="00597F01"/>
    <w:rsid w:val="005C3895"/>
    <w:rsid w:val="005D17CC"/>
    <w:rsid w:val="005F3D42"/>
    <w:rsid w:val="00604F16"/>
    <w:rsid w:val="00607A47"/>
    <w:rsid w:val="00626546"/>
    <w:rsid w:val="0068137D"/>
    <w:rsid w:val="00691183"/>
    <w:rsid w:val="006B640C"/>
    <w:rsid w:val="006B70F1"/>
    <w:rsid w:val="006C0167"/>
    <w:rsid w:val="006C77B4"/>
    <w:rsid w:val="006F4EC5"/>
    <w:rsid w:val="00737270"/>
    <w:rsid w:val="007523A2"/>
    <w:rsid w:val="00762BE0"/>
    <w:rsid w:val="007976C2"/>
    <w:rsid w:val="007A4A39"/>
    <w:rsid w:val="007A5996"/>
    <w:rsid w:val="007A79C5"/>
    <w:rsid w:val="007C11E3"/>
    <w:rsid w:val="007C7303"/>
    <w:rsid w:val="007D5957"/>
    <w:rsid w:val="00801C56"/>
    <w:rsid w:val="00811AE2"/>
    <w:rsid w:val="00834755"/>
    <w:rsid w:val="00834BEA"/>
    <w:rsid w:val="0084487C"/>
    <w:rsid w:val="00886D96"/>
    <w:rsid w:val="008A7E6C"/>
    <w:rsid w:val="008B15C6"/>
    <w:rsid w:val="008B6F33"/>
    <w:rsid w:val="008D0A53"/>
    <w:rsid w:val="008F686A"/>
    <w:rsid w:val="009235C6"/>
    <w:rsid w:val="00945153"/>
    <w:rsid w:val="0094617E"/>
    <w:rsid w:val="00955AC7"/>
    <w:rsid w:val="00986B57"/>
    <w:rsid w:val="00991EC2"/>
    <w:rsid w:val="009B4BA9"/>
    <w:rsid w:val="009C6495"/>
    <w:rsid w:val="00A10124"/>
    <w:rsid w:val="00A3238D"/>
    <w:rsid w:val="00A63DC6"/>
    <w:rsid w:val="00A85F2C"/>
    <w:rsid w:val="00A97E57"/>
    <w:rsid w:val="00AA48F6"/>
    <w:rsid w:val="00AA7E8B"/>
    <w:rsid w:val="00AB46A2"/>
    <w:rsid w:val="00AD7A80"/>
    <w:rsid w:val="00AE266B"/>
    <w:rsid w:val="00B14D07"/>
    <w:rsid w:val="00B23F46"/>
    <w:rsid w:val="00B24237"/>
    <w:rsid w:val="00B31D17"/>
    <w:rsid w:val="00B3291D"/>
    <w:rsid w:val="00B60C11"/>
    <w:rsid w:val="00B83151"/>
    <w:rsid w:val="00B84551"/>
    <w:rsid w:val="00BB762E"/>
    <w:rsid w:val="00BE5366"/>
    <w:rsid w:val="00BF3050"/>
    <w:rsid w:val="00BF7EC0"/>
    <w:rsid w:val="00C02CB7"/>
    <w:rsid w:val="00C4516A"/>
    <w:rsid w:val="00C47892"/>
    <w:rsid w:val="00C744C1"/>
    <w:rsid w:val="00C85BEE"/>
    <w:rsid w:val="00CA6C2D"/>
    <w:rsid w:val="00D15B24"/>
    <w:rsid w:val="00D24182"/>
    <w:rsid w:val="00D766A6"/>
    <w:rsid w:val="00D807ED"/>
    <w:rsid w:val="00D849EC"/>
    <w:rsid w:val="00D96930"/>
    <w:rsid w:val="00E32E03"/>
    <w:rsid w:val="00E62853"/>
    <w:rsid w:val="00E70922"/>
    <w:rsid w:val="00E93F3D"/>
    <w:rsid w:val="00F0187A"/>
    <w:rsid w:val="00F15BA4"/>
    <w:rsid w:val="00F64EAB"/>
    <w:rsid w:val="00F672A1"/>
    <w:rsid w:val="00F92CD8"/>
    <w:rsid w:val="00F97F33"/>
    <w:rsid w:val="00FB382A"/>
    <w:rsid w:val="00FC4D00"/>
    <w:rsid w:val="00FD201A"/>
    <w:rsid w:val="00FF30E3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customStyle="1" w:styleId="Bibliografia1">
    <w:name w:val="Bibliografia1"/>
    <w:basedOn w:val="Normal"/>
    <w:qFormat/>
    <w:rsid w:val="00B24237"/>
    <w:pPr>
      <w:ind w:left="709" w:hanging="709"/>
    </w:pPr>
  </w:style>
  <w:style w:type="character" w:styleId="HiperlinkVisitado">
    <w:name w:val="FollowedHyperlink"/>
    <w:basedOn w:val="Fontepargpadro"/>
    <w:uiPriority w:val="99"/>
    <w:semiHidden/>
    <w:unhideWhenUsed/>
    <w:locked/>
    <w:rsid w:val="00082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340A3F"/>
  </w:style>
  <w:style w:type="character" w:customStyle="1" w:styleId="NoSpacingChar">
    <w:name w:val="No Spacing Char"/>
    <w:link w:val="NoSpacing"/>
    <w:uiPriority w:val="99"/>
    <w:locked/>
    <w:rsid w:val="00340A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SubtleReference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IntenseReference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52268"/>
    <w:rPr>
      <w:color w:val="0000FF"/>
      <w:szCs w:val="20"/>
    </w:rPr>
  </w:style>
  <w:style w:type="character" w:customStyle="1" w:styleId="BodyText2Char">
    <w:name w:val="Body Text 2 Char"/>
    <w:link w:val="BodyText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BodyText">
    <w:name w:val="Body Text"/>
    <w:basedOn w:val="Normal"/>
    <w:link w:val="BodyTextChar"/>
    <w:uiPriority w:val="99"/>
    <w:semiHidden/>
    <w:rsid w:val="00801C5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Header">
    <w:name w:val="header"/>
    <w:basedOn w:val="Normal"/>
    <w:link w:val="Header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PlainText">
    <w:name w:val="Plain Text"/>
    <w:basedOn w:val="Normal"/>
    <w:link w:val="PlainText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customStyle="1" w:styleId="Bibliografia">
    <w:name w:val="Bibliografia"/>
    <w:basedOn w:val="Normal"/>
    <w:qFormat/>
    <w:rsid w:val="00B24237"/>
    <w:pPr>
      <w:ind w:left="709" w:hanging="709"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082C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professoraaracelivello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Home</cp:lastModifiedBy>
  <cp:revision>2</cp:revision>
  <cp:lastPrinted>2013-08-26T13:42:00Z</cp:lastPrinted>
  <dcterms:created xsi:type="dcterms:W3CDTF">2017-08-03T16:39:00Z</dcterms:created>
  <dcterms:modified xsi:type="dcterms:W3CDTF">2017-08-03T16:39:00Z</dcterms:modified>
</cp:coreProperties>
</file>